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0AE" w:rsidRPr="00995998" w:rsidRDefault="00F330AE" w:rsidP="00F330AE">
      <w:pPr>
        <w:ind w:leftChars="-11" w:left="1168" w:hangingChars="373" w:hanging="1194"/>
        <w:rPr>
          <w:rFonts w:ascii="標楷體" w:eastAsia="標楷體" w:hAnsi="標楷體"/>
          <w:color w:val="000000"/>
          <w:sz w:val="32"/>
          <w:szCs w:val="32"/>
        </w:rPr>
      </w:pPr>
      <w:bookmarkStart w:id="0" w:name="_GoBack"/>
      <w:bookmarkEnd w:id="0"/>
      <w:r w:rsidRPr="00995998">
        <w:rPr>
          <w:rFonts w:ascii="標楷體" w:eastAsia="標楷體" w:hAnsi="標楷體" w:hint="eastAsia"/>
          <w:color w:val="000000"/>
          <w:sz w:val="32"/>
          <w:szCs w:val="32"/>
        </w:rPr>
        <w:t>附表（二）外國發行人辦理無實體登錄應附送書表一覽表</w:t>
      </w: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4"/>
        <w:gridCol w:w="2264"/>
        <w:gridCol w:w="900"/>
        <w:gridCol w:w="979"/>
        <w:gridCol w:w="709"/>
        <w:gridCol w:w="709"/>
        <w:gridCol w:w="567"/>
        <w:gridCol w:w="708"/>
        <w:gridCol w:w="851"/>
        <w:gridCol w:w="709"/>
        <w:gridCol w:w="708"/>
        <w:gridCol w:w="709"/>
        <w:gridCol w:w="1134"/>
        <w:gridCol w:w="709"/>
      </w:tblGrid>
      <w:tr w:rsidR="00F330AE" w:rsidRPr="00E70868" w:rsidTr="002B6481">
        <w:trPr>
          <w:cantSplit/>
          <w:trHeight w:val="2312"/>
          <w:tblHeader/>
        </w:trPr>
        <w:tc>
          <w:tcPr>
            <w:tcW w:w="4528" w:type="dxa"/>
            <w:gridSpan w:val="2"/>
            <w:tcBorders>
              <w:bottom w:val="single" w:sz="4" w:space="0" w:color="auto"/>
            </w:tcBorders>
          </w:tcPr>
          <w:p w:rsidR="00F330AE" w:rsidRPr="00E70868" w:rsidRDefault="00F330AE" w:rsidP="002B6481">
            <w:pPr>
              <w:pStyle w:val="a3"/>
              <w:ind w:leftChars="151" w:left="1042" w:hangingChars="243" w:hanging="680"/>
              <w:jc w:val="right"/>
              <w:rPr>
                <w:rFonts w:ascii="標楷體" w:hAnsi="標楷體"/>
                <w:color w:val="000000"/>
              </w:rPr>
            </w:pPr>
            <w:r w:rsidRPr="00E70868">
              <w:rPr>
                <w:rFonts w:ascii="標楷體" w:hAnsi="標楷體"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2858135" cy="1657350"/>
                      <wp:effectExtent l="5715" t="5715" r="12700" b="1333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135" cy="1657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CF902"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225.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"/>
                  </w:pict>
                </mc:Fallback>
              </mc:AlternateContent>
            </w:r>
          </w:p>
          <w:p w:rsidR="00F330AE" w:rsidRPr="00E70868" w:rsidRDefault="00F330AE" w:rsidP="002B6481">
            <w:pPr>
              <w:pStyle w:val="a3"/>
              <w:ind w:leftChars="151" w:left="1140" w:hangingChars="243" w:hanging="778"/>
              <w:jc w:val="center"/>
              <w:rPr>
                <w:rFonts w:ascii="標楷體" w:hAnsi="標楷體"/>
                <w:color w:val="000000"/>
                <w:sz w:val="24"/>
              </w:rPr>
            </w:pPr>
            <w:r w:rsidRPr="00E70868">
              <w:rPr>
                <w:rFonts w:ascii="標楷體" w:hAnsi="標楷體" w:hint="eastAsia"/>
                <w:color w:val="000000"/>
              </w:rPr>
              <w:t xml:space="preserve">        </w:t>
            </w:r>
            <w:r w:rsidRPr="00E70868">
              <w:rPr>
                <w:rFonts w:ascii="標楷體" w:hAnsi="標楷體" w:hint="eastAsia"/>
                <w:color w:val="000000"/>
                <w:sz w:val="24"/>
              </w:rPr>
              <w:t>登錄文件</w:t>
            </w:r>
          </w:p>
          <w:p w:rsidR="00F330AE" w:rsidRPr="00E70868" w:rsidRDefault="00F330AE" w:rsidP="002B6481">
            <w:pPr>
              <w:rPr>
                <w:rFonts w:ascii="標楷體" w:eastAsia="標楷體" w:hAnsi="標楷體"/>
                <w:color w:val="000000"/>
              </w:rPr>
            </w:pPr>
          </w:p>
          <w:p w:rsidR="00F330AE" w:rsidRPr="00E70868" w:rsidRDefault="00F330AE" w:rsidP="002B6481">
            <w:pPr>
              <w:rPr>
                <w:rFonts w:ascii="標楷體" w:eastAsia="標楷體" w:hAnsi="標楷體"/>
                <w:color w:val="000000"/>
              </w:rPr>
            </w:pPr>
          </w:p>
          <w:p w:rsidR="00F330AE" w:rsidRPr="00E70868" w:rsidRDefault="00F330AE" w:rsidP="002B6481">
            <w:pPr>
              <w:ind w:rightChars="796" w:right="1910"/>
              <w:jc w:val="center"/>
              <w:rPr>
                <w:rFonts w:ascii="標楷體" w:eastAsia="標楷體" w:hAnsi="標楷體"/>
                <w:color w:val="000000"/>
              </w:rPr>
            </w:pPr>
            <w:r w:rsidRPr="00E70868">
              <w:rPr>
                <w:rFonts w:ascii="標楷體" w:eastAsia="標楷體" w:hAnsi="標楷體" w:hint="eastAsia"/>
                <w:color w:val="000000"/>
              </w:rPr>
              <w:t>登錄原因</w:t>
            </w:r>
          </w:p>
          <w:p w:rsidR="00F330AE" w:rsidRPr="00E70868" w:rsidRDefault="00F330AE" w:rsidP="002B6481">
            <w:pPr>
              <w:rPr>
                <w:rFonts w:ascii="標楷體" w:eastAsia="標楷體" w:hAnsi="標楷體"/>
                <w:color w:val="000000"/>
              </w:rPr>
            </w:pPr>
          </w:p>
        </w:tc>
        <w:tc>
          <w:tcPr>
            <w:tcW w:w="900" w:type="dxa"/>
            <w:tcBorders>
              <w:bottom w:val="single" w:sz="4" w:space="0" w:color="auto"/>
            </w:tcBorders>
            <w:textDirection w:val="tbRlV"/>
            <w:vAlign w:val="center"/>
          </w:tcPr>
          <w:p w:rsidR="00F330AE" w:rsidRPr="00E70868" w:rsidRDefault="00F330AE" w:rsidP="002B6481">
            <w:pPr>
              <w:ind w:left="113" w:right="113"/>
              <w:jc w:val="both"/>
              <w:rPr>
                <w:rFonts w:ascii="標楷體" w:eastAsia="標楷體" w:hAnsi="標楷體"/>
                <w:noProof/>
                <w:color w:val="000000"/>
                <w:sz w:val="22"/>
              </w:rPr>
            </w:pPr>
            <w:r w:rsidRPr="00E70868">
              <w:rPr>
                <w:rFonts w:ascii="標楷體" w:eastAsia="標楷體" w:hAnsi="標楷體" w:hint="eastAsia"/>
                <w:color w:val="000000"/>
                <w:sz w:val="22"/>
              </w:rPr>
              <w:t>無實體發行登錄申請書（</w:t>
            </w:r>
            <w:proofErr w:type="gramStart"/>
            <w:r w:rsidRPr="00E70868">
              <w:rPr>
                <w:rFonts w:ascii="標楷體" w:eastAsia="標楷體" w:hAnsi="標楷體" w:hint="eastAsia"/>
                <w:color w:val="000000"/>
                <w:sz w:val="22"/>
              </w:rPr>
              <w:t>註</w:t>
            </w:r>
            <w:proofErr w:type="gramEnd"/>
            <w:r w:rsidRPr="00E70868">
              <w:rPr>
                <w:rFonts w:ascii="標楷體" w:eastAsia="標楷體" w:hAnsi="標楷體" w:hint="eastAsia"/>
                <w:color w:val="000000"/>
                <w:sz w:val="22"/>
              </w:rPr>
              <w:t>一）</w:t>
            </w:r>
          </w:p>
        </w:tc>
        <w:tc>
          <w:tcPr>
            <w:tcW w:w="979" w:type="dxa"/>
            <w:tcBorders>
              <w:bottom w:val="single" w:sz="4" w:space="0" w:color="auto"/>
            </w:tcBorders>
            <w:textDirection w:val="tbRlV"/>
            <w:vAlign w:val="center"/>
          </w:tcPr>
          <w:p w:rsidR="00F330AE" w:rsidRPr="00E70868" w:rsidRDefault="00F330AE" w:rsidP="002B6481">
            <w:pPr>
              <w:spacing w:line="280" w:lineRule="exact"/>
              <w:ind w:left="113" w:right="113"/>
              <w:jc w:val="both"/>
              <w:rPr>
                <w:rFonts w:ascii="標楷體" w:eastAsia="標楷體" w:hAnsi="標楷體"/>
                <w:color w:val="000000"/>
                <w:sz w:val="22"/>
                <w:szCs w:val="22"/>
              </w:rPr>
            </w:pPr>
            <w:r w:rsidRPr="00E70868">
              <w:rPr>
                <w:rFonts w:ascii="標楷體" w:eastAsia="標楷體" w:hAnsi="標楷體" w:hint="eastAsia"/>
                <w:color w:val="000000"/>
                <w:spacing w:val="-2"/>
                <w:sz w:val="22"/>
                <w:szCs w:val="22"/>
              </w:rPr>
              <w:t>委託集保結算所所在地專業股</w:t>
            </w:r>
            <w:proofErr w:type="gramStart"/>
            <w:r w:rsidRPr="00E70868">
              <w:rPr>
                <w:rFonts w:ascii="標楷體" w:eastAsia="標楷體" w:hAnsi="標楷體" w:hint="eastAsia"/>
                <w:color w:val="000000"/>
                <w:spacing w:val="-2"/>
                <w:sz w:val="22"/>
                <w:szCs w:val="22"/>
              </w:rPr>
              <w:t>務</w:t>
            </w:r>
            <w:proofErr w:type="gramEnd"/>
            <w:r w:rsidRPr="00E70868">
              <w:rPr>
                <w:rFonts w:ascii="標楷體" w:eastAsia="標楷體" w:hAnsi="標楷體" w:hint="eastAsia"/>
                <w:color w:val="000000"/>
                <w:spacing w:val="-2"/>
                <w:sz w:val="22"/>
                <w:szCs w:val="22"/>
              </w:rPr>
              <w:t>代理機構辦理股</w:t>
            </w:r>
            <w:proofErr w:type="gramStart"/>
            <w:r w:rsidRPr="00E70868">
              <w:rPr>
                <w:rFonts w:ascii="標楷體" w:eastAsia="標楷體" w:hAnsi="標楷體" w:hint="eastAsia"/>
                <w:color w:val="000000"/>
                <w:spacing w:val="-2"/>
                <w:sz w:val="22"/>
                <w:szCs w:val="22"/>
              </w:rPr>
              <w:t>務</w:t>
            </w:r>
            <w:proofErr w:type="gramEnd"/>
            <w:r w:rsidRPr="00E70868">
              <w:rPr>
                <w:rFonts w:ascii="標楷體" w:eastAsia="標楷體" w:hAnsi="標楷體" w:hint="eastAsia"/>
                <w:color w:val="000000"/>
                <w:spacing w:val="-2"/>
                <w:sz w:val="22"/>
                <w:szCs w:val="22"/>
              </w:rPr>
              <w:t>事務證明文件</w:t>
            </w:r>
          </w:p>
        </w:tc>
        <w:tc>
          <w:tcPr>
            <w:tcW w:w="709" w:type="dxa"/>
            <w:tcBorders>
              <w:bottom w:val="single" w:sz="4" w:space="0" w:color="auto"/>
            </w:tcBorders>
            <w:textDirection w:val="tbRlV"/>
            <w:vAlign w:val="center"/>
          </w:tcPr>
          <w:p w:rsidR="00F330AE" w:rsidRPr="00E70868" w:rsidRDefault="00F330AE" w:rsidP="002B6481">
            <w:pPr>
              <w:ind w:left="113" w:right="113"/>
              <w:jc w:val="both"/>
              <w:rPr>
                <w:rFonts w:ascii="標楷體" w:eastAsia="標楷體" w:hAnsi="標楷體"/>
                <w:color w:val="000000"/>
                <w:sz w:val="22"/>
              </w:rPr>
            </w:pPr>
            <w:r w:rsidRPr="00E70868">
              <w:rPr>
                <w:rFonts w:ascii="標楷體" w:eastAsia="標楷體" w:hAnsi="標楷體" w:hint="eastAsia"/>
                <w:color w:val="000000"/>
                <w:sz w:val="22"/>
              </w:rPr>
              <w:t>主管機關核准發行之證明文件</w:t>
            </w:r>
          </w:p>
        </w:tc>
        <w:tc>
          <w:tcPr>
            <w:tcW w:w="709" w:type="dxa"/>
            <w:tcBorders>
              <w:bottom w:val="single" w:sz="4" w:space="0" w:color="auto"/>
            </w:tcBorders>
            <w:textDirection w:val="tbRlV"/>
            <w:vAlign w:val="center"/>
          </w:tcPr>
          <w:p w:rsidR="00F330AE" w:rsidRPr="00E70868" w:rsidRDefault="00F330AE" w:rsidP="002B6481">
            <w:pPr>
              <w:ind w:left="113" w:right="113"/>
              <w:jc w:val="both"/>
              <w:rPr>
                <w:rFonts w:ascii="標楷體" w:eastAsia="標楷體" w:hAnsi="標楷體"/>
                <w:color w:val="000000"/>
                <w:sz w:val="22"/>
              </w:rPr>
            </w:pPr>
            <w:r w:rsidRPr="00E70868">
              <w:rPr>
                <w:rFonts w:ascii="標楷體" w:eastAsia="標楷體" w:hAnsi="標楷體" w:hint="eastAsia"/>
                <w:color w:val="000000"/>
                <w:sz w:val="22"/>
              </w:rPr>
              <w:t>價款收足之證明</w:t>
            </w:r>
          </w:p>
        </w:tc>
        <w:tc>
          <w:tcPr>
            <w:tcW w:w="567" w:type="dxa"/>
            <w:tcBorders>
              <w:bottom w:val="single" w:sz="4" w:space="0" w:color="auto"/>
            </w:tcBorders>
            <w:textDirection w:val="tbRlV"/>
            <w:vAlign w:val="center"/>
          </w:tcPr>
          <w:p w:rsidR="00F330AE" w:rsidRPr="00E70868" w:rsidRDefault="00F330AE" w:rsidP="002B6481">
            <w:pPr>
              <w:ind w:left="113" w:right="113"/>
              <w:jc w:val="both"/>
              <w:rPr>
                <w:rFonts w:ascii="標楷體" w:eastAsia="標楷體" w:hAnsi="標楷體"/>
                <w:color w:val="000000"/>
                <w:sz w:val="22"/>
              </w:rPr>
            </w:pPr>
            <w:r w:rsidRPr="00E70868">
              <w:rPr>
                <w:rFonts w:ascii="標楷體" w:eastAsia="標楷體" w:hAnsi="標楷體" w:hint="eastAsia"/>
                <w:color w:val="000000"/>
                <w:sz w:val="22"/>
              </w:rPr>
              <w:t>股東會議事錄</w:t>
            </w:r>
          </w:p>
        </w:tc>
        <w:tc>
          <w:tcPr>
            <w:tcW w:w="708" w:type="dxa"/>
            <w:tcBorders>
              <w:bottom w:val="single" w:sz="4" w:space="0" w:color="auto"/>
            </w:tcBorders>
            <w:textDirection w:val="tbRlV"/>
            <w:vAlign w:val="center"/>
          </w:tcPr>
          <w:p w:rsidR="00F330AE" w:rsidRPr="00E70868" w:rsidRDefault="00F330AE" w:rsidP="002B6481">
            <w:pPr>
              <w:ind w:left="113" w:right="113"/>
              <w:jc w:val="both"/>
              <w:rPr>
                <w:rFonts w:ascii="標楷體" w:eastAsia="標楷體" w:hAnsi="標楷體"/>
                <w:color w:val="000000"/>
                <w:sz w:val="22"/>
              </w:rPr>
            </w:pPr>
            <w:r w:rsidRPr="00E70868">
              <w:rPr>
                <w:rFonts w:ascii="標楷體" w:eastAsia="標楷體" w:hAnsi="標楷體" w:hint="eastAsia"/>
                <w:color w:val="000000"/>
                <w:sz w:val="22"/>
              </w:rPr>
              <w:t>董事會議事錄</w:t>
            </w:r>
          </w:p>
        </w:tc>
        <w:tc>
          <w:tcPr>
            <w:tcW w:w="851" w:type="dxa"/>
            <w:tcBorders>
              <w:bottom w:val="single" w:sz="4" w:space="0" w:color="auto"/>
            </w:tcBorders>
            <w:textDirection w:val="tbRlV"/>
            <w:vAlign w:val="center"/>
          </w:tcPr>
          <w:p w:rsidR="00F330AE" w:rsidRPr="00E70868" w:rsidRDefault="00F330AE" w:rsidP="002B6481">
            <w:pPr>
              <w:ind w:left="113" w:right="113"/>
              <w:jc w:val="both"/>
              <w:rPr>
                <w:rFonts w:ascii="標楷體" w:eastAsia="標楷體" w:hAnsi="標楷體"/>
                <w:color w:val="000000"/>
                <w:sz w:val="22"/>
              </w:rPr>
            </w:pPr>
            <w:r w:rsidRPr="00E70868">
              <w:rPr>
                <w:rFonts w:ascii="標楷體" w:eastAsia="標楷體" w:hAnsi="標楷體" w:hint="eastAsia"/>
                <w:color w:val="000000"/>
                <w:sz w:val="22"/>
              </w:rPr>
              <w:t>公開資訊觀測站申報發行資料（</w:t>
            </w:r>
            <w:proofErr w:type="gramStart"/>
            <w:r w:rsidRPr="00E70868">
              <w:rPr>
                <w:rFonts w:ascii="標楷體" w:eastAsia="標楷體" w:hAnsi="標楷體" w:hint="eastAsia"/>
                <w:color w:val="000000"/>
                <w:sz w:val="22"/>
              </w:rPr>
              <w:t>註</w:t>
            </w:r>
            <w:proofErr w:type="gramEnd"/>
            <w:r w:rsidRPr="00E70868">
              <w:rPr>
                <w:rFonts w:ascii="標楷體" w:eastAsia="標楷體" w:hAnsi="標楷體" w:hint="eastAsia"/>
                <w:color w:val="000000"/>
                <w:sz w:val="22"/>
              </w:rPr>
              <w:t>二）</w:t>
            </w:r>
          </w:p>
        </w:tc>
        <w:tc>
          <w:tcPr>
            <w:tcW w:w="709" w:type="dxa"/>
            <w:tcBorders>
              <w:bottom w:val="single" w:sz="4" w:space="0" w:color="auto"/>
            </w:tcBorders>
            <w:textDirection w:val="tbRlV"/>
            <w:vAlign w:val="center"/>
          </w:tcPr>
          <w:p w:rsidR="00F330AE" w:rsidRPr="00E70868" w:rsidRDefault="00F330AE" w:rsidP="002B6481">
            <w:pPr>
              <w:ind w:left="113" w:right="113"/>
              <w:jc w:val="both"/>
              <w:rPr>
                <w:rFonts w:ascii="標楷體" w:eastAsia="標楷體" w:hAnsi="標楷體"/>
                <w:color w:val="000000"/>
                <w:sz w:val="22"/>
              </w:rPr>
            </w:pPr>
            <w:r w:rsidRPr="00E70868">
              <w:rPr>
                <w:rFonts w:ascii="標楷體" w:eastAsia="標楷體" w:hAnsi="標楷體" w:hint="eastAsia"/>
                <w:color w:val="000000"/>
                <w:sz w:val="22"/>
              </w:rPr>
              <w:t>換發公告</w:t>
            </w:r>
          </w:p>
        </w:tc>
        <w:tc>
          <w:tcPr>
            <w:tcW w:w="708" w:type="dxa"/>
            <w:tcBorders>
              <w:bottom w:val="single" w:sz="4" w:space="0" w:color="auto"/>
            </w:tcBorders>
            <w:textDirection w:val="tbRlV"/>
            <w:vAlign w:val="center"/>
          </w:tcPr>
          <w:p w:rsidR="00F330AE" w:rsidRPr="00E70868" w:rsidRDefault="00F330AE" w:rsidP="002B6481">
            <w:pPr>
              <w:ind w:left="113" w:right="113"/>
              <w:jc w:val="both"/>
              <w:rPr>
                <w:rFonts w:ascii="標楷體" w:eastAsia="標楷體" w:hAnsi="標楷體"/>
                <w:color w:val="000000"/>
                <w:sz w:val="22"/>
              </w:rPr>
            </w:pPr>
            <w:r w:rsidRPr="00E70868">
              <w:rPr>
                <w:rFonts w:ascii="標楷體" w:eastAsia="標楷體" w:hAnsi="標楷體" w:hint="eastAsia"/>
                <w:color w:val="000000"/>
                <w:sz w:val="22"/>
              </w:rPr>
              <w:t>換發有價證券明細表</w:t>
            </w:r>
          </w:p>
        </w:tc>
        <w:tc>
          <w:tcPr>
            <w:tcW w:w="709" w:type="dxa"/>
            <w:tcBorders>
              <w:bottom w:val="single" w:sz="4" w:space="0" w:color="auto"/>
            </w:tcBorders>
            <w:textDirection w:val="tbRlV"/>
            <w:vAlign w:val="center"/>
          </w:tcPr>
          <w:p w:rsidR="00F330AE" w:rsidRPr="00E70868" w:rsidRDefault="00F330AE" w:rsidP="002B6481">
            <w:pPr>
              <w:ind w:left="113" w:right="113"/>
              <w:jc w:val="both"/>
              <w:rPr>
                <w:rFonts w:ascii="標楷體" w:eastAsia="標楷體" w:hAnsi="標楷體"/>
                <w:color w:val="000000"/>
                <w:sz w:val="22"/>
              </w:rPr>
            </w:pPr>
            <w:r w:rsidRPr="00E70868">
              <w:rPr>
                <w:rFonts w:ascii="標楷體" w:eastAsia="標楷體" w:hAnsi="標楷體" w:hint="eastAsia"/>
                <w:color w:val="000000"/>
                <w:sz w:val="22"/>
              </w:rPr>
              <w:t>發行辦法</w:t>
            </w:r>
          </w:p>
        </w:tc>
        <w:tc>
          <w:tcPr>
            <w:tcW w:w="1134" w:type="dxa"/>
            <w:tcBorders>
              <w:bottom w:val="single" w:sz="4" w:space="0" w:color="auto"/>
            </w:tcBorders>
            <w:textDirection w:val="tbRlV"/>
            <w:vAlign w:val="center"/>
          </w:tcPr>
          <w:p w:rsidR="00F330AE" w:rsidRPr="00E70868" w:rsidRDefault="00F330AE" w:rsidP="002B6481">
            <w:pPr>
              <w:ind w:left="113" w:right="113"/>
              <w:jc w:val="both"/>
              <w:rPr>
                <w:rFonts w:ascii="標楷體" w:eastAsia="標楷體" w:hAnsi="標楷體"/>
                <w:color w:val="000000"/>
                <w:sz w:val="22"/>
              </w:rPr>
            </w:pPr>
            <w:r w:rsidRPr="00E70868">
              <w:rPr>
                <w:rFonts w:ascii="標楷體" w:eastAsia="標楷體" w:hAnsi="標楷體" w:hint="eastAsia"/>
                <w:color w:val="000000"/>
                <w:sz w:val="22"/>
              </w:rPr>
              <w:t>證交所、櫃</w:t>
            </w:r>
            <w:r w:rsidRPr="00E70868">
              <w:rPr>
                <w:rFonts w:ascii="標楷體" w:eastAsia="標楷體" w:hAnsi="標楷體" w:hint="eastAsia"/>
                <w:color w:val="000000"/>
                <w:sz w:val="22"/>
                <w:u w:val="single"/>
              </w:rPr>
              <w:t>買</w:t>
            </w:r>
            <w:r w:rsidRPr="00E70868">
              <w:rPr>
                <w:rFonts w:ascii="標楷體" w:eastAsia="標楷體" w:hAnsi="標楷體" w:hint="eastAsia"/>
                <w:color w:val="000000"/>
                <w:sz w:val="22"/>
              </w:rPr>
              <w:t>中心同意或公告股票掛牌買賣文件</w:t>
            </w:r>
          </w:p>
        </w:tc>
        <w:tc>
          <w:tcPr>
            <w:tcW w:w="709" w:type="dxa"/>
            <w:tcBorders>
              <w:bottom w:val="single" w:sz="4" w:space="0" w:color="auto"/>
            </w:tcBorders>
            <w:textDirection w:val="tbRlV"/>
            <w:vAlign w:val="center"/>
          </w:tcPr>
          <w:p w:rsidR="00F330AE" w:rsidRPr="00E70868" w:rsidRDefault="00F330AE" w:rsidP="002B6481">
            <w:pPr>
              <w:ind w:left="113" w:right="113"/>
              <w:jc w:val="both"/>
              <w:rPr>
                <w:rFonts w:ascii="標楷體" w:eastAsia="標楷體" w:hAnsi="標楷體"/>
                <w:color w:val="000000"/>
                <w:sz w:val="22"/>
                <w:u w:val="single"/>
              </w:rPr>
            </w:pPr>
            <w:r w:rsidRPr="00E70868">
              <w:rPr>
                <w:rFonts w:ascii="標楷體" w:eastAsia="標楷體" w:hAnsi="標楷體" w:hint="eastAsia"/>
                <w:color w:val="000000"/>
                <w:sz w:val="22"/>
                <w:u w:val="single"/>
              </w:rPr>
              <w:t>發行異動餘額資料</w:t>
            </w:r>
          </w:p>
        </w:tc>
      </w:tr>
      <w:tr w:rsidR="00F330AE" w:rsidRPr="00E70868" w:rsidTr="002B6481">
        <w:trPr>
          <w:cantSplit/>
          <w:trHeight w:val="295"/>
        </w:trPr>
        <w:tc>
          <w:tcPr>
            <w:tcW w:w="4528" w:type="dxa"/>
            <w:gridSpan w:val="2"/>
            <w:vAlign w:val="center"/>
          </w:tcPr>
          <w:p w:rsidR="00F330AE" w:rsidRPr="00E70868" w:rsidRDefault="00F330AE" w:rsidP="002B6481">
            <w:pPr>
              <w:jc w:val="both"/>
              <w:rPr>
                <w:rFonts w:ascii="標楷體" w:eastAsia="標楷體" w:hAnsi="標楷體"/>
                <w:color w:val="000000"/>
                <w:sz w:val="19"/>
                <w:szCs w:val="19"/>
              </w:rPr>
            </w:pPr>
            <w:r w:rsidRPr="00E70868">
              <w:rPr>
                <w:rFonts w:ascii="標楷體" w:eastAsia="標楷體" w:hAnsi="標楷體" w:hint="eastAsia"/>
                <w:noProof/>
                <w:color w:val="000000"/>
                <w:sz w:val="19"/>
                <w:szCs w:val="19"/>
              </w:rPr>
              <w:t>初次上市、上櫃</w:t>
            </w:r>
          </w:p>
        </w:tc>
        <w:tc>
          <w:tcPr>
            <w:tcW w:w="900" w:type="dxa"/>
            <w:vAlign w:val="center"/>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c>
          <w:tcPr>
            <w:tcW w:w="567"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1134"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r>
      <w:tr w:rsidR="00F330AE" w:rsidRPr="00E70868" w:rsidTr="002B6481">
        <w:trPr>
          <w:cantSplit/>
          <w:trHeight w:val="295"/>
        </w:trPr>
        <w:tc>
          <w:tcPr>
            <w:tcW w:w="4528" w:type="dxa"/>
            <w:gridSpan w:val="2"/>
            <w:vAlign w:val="center"/>
          </w:tcPr>
          <w:p w:rsidR="00F330AE" w:rsidRPr="00E70868" w:rsidRDefault="00F330AE" w:rsidP="002B6481">
            <w:pPr>
              <w:jc w:val="both"/>
              <w:rPr>
                <w:rFonts w:ascii="標楷體" w:eastAsia="標楷體" w:hAnsi="標楷體"/>
                <w:color w:val="000000"/>
                <w:sz w:val="19"/>
                <w:szCs w:val="19"/>
              </w:rPr>
            </w:pPr>
            <w:proofErr w:type="gramStart"/>
            <w:r w:rsidRPr="00E70868">
              <w:rPr>
                <w:rFonts w:ascii="標楷體" w:eastAsia="標楷體" w:hAnsi="標楷體" w:hint="eastAsia"/>
                <w:color w:val="000000"/>
                <w:sz w:val="19"/>
                <w:szCs w:val="19"/>
              </w:rPr>
              <w:t>初次興櫃</w:t>
            </w:r>
            <w:proofErr w:type="gramEnd"/>
          </w:p>
        </w:tc>
        <w:tc>
          <w:tcPr>
            <w:tcW w:w="900" w:type="dxa"/>
            <w:vAlign w:val="center"/>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dstrike/>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dstrike/>
                <w:color w:val="000000"/>
                <w:sz w:val="19"/>
                <w:szCs w:val="19"/>
              </w:rPr>
            </w:pPr>
          </w:p>
        </w:tc>
        <w:tc>
          <w:tcPr>
            <w:tcW w:w="567"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1134"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r>
      <w:tr w:rsidR="00F330AE" w:rsidRPr="00E70868" w:rsidTr="002B6481">
        <w:trPr>
          <w:cantSplit/>
          <w:trHeight w:val="295"/>
        </w:trPr>
        <w:tc>
          <w:tcPr>
            <w:tcW w:w="2264" w:type="dxa"/>
            <w:vMerge w:val="restart"/>
            <w:vAlign w:val="center"/>
          </w:tcPr>
          <w:p w:rsidR="00F330AE" w:rsidRPr="00E70868" w:rsidRDefault="00F330AE" w:rsidP="002B6481">
            <w:pPr>
              <w:jc w:val="both"/>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t>公司無償配發新股</w:t>
            </w:r>
          </w:p>
        </w:tc>
        <w:tc>
          <w:tcPr>
            <w:tcW w:w="2264" w:type="dxa"/>
          </w:tcPr>
          <w:p w:rsidR="00F330AE" w:rsidRPr="00E70868" w:rsidRDefault="00F330AE" w:rsidP="002B6481">
            <w:pPr>
              <w:spacing w:line="260" w:lineRule="exact"/>
              <w:rPr>
                <w:rFonts w:ascii="標楷體" w:eastAsia="標楷體" w:hAnsi="標楷體"/>
                <w:color w:val="000000"/>
                <w:sz w:val="19"/>
                <w:szCs w:val="19"/>
              </w:rPr>
            </w:pPr>
            <w:r w:rsidRPr="00E70868">
              <w:rPr>
                <w:rFonts w:ascii="標楷體" w:eastAsia="標楷體" w:hAnsi="標楷體" w:hint="eastAsia"/>
                <w:color w:val="000000"/>
                <w:sz w:val="19"/>
                <w:szCs w:val="19"/>
                <w:u w:val="single"/>
              </w:rPr>
              <w:t>股票</w:t>
            </w:r>
          </w:p>
        </w:tc>
        <w:tc>
          <w:tcPr>
            <w:tcW w:w="900" w:type="dxa"/>
            <w:vAlign w:val="center"/>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dstrike/>
                <w:color w:val="000000"/>
                <w:sz w:val="19"/>
                <w:szCs w:val="19"/>
              </w:rPr>
            </w:pPr>
          </w:p>
        </w:tc>
        <w:tc>
          <w:tcPr>
            <w:tcW w:w="709" w:type="dxa"/>
          </w:tcPr>
          <w:p w:rsidR="00F330AE" w:rsidRPr="00E70868" w:rsidRDefault="00F330AE" w:rsidP="002B6481">
            <w:pPr>
              <w:jc w:val="center"/>
              <w:rPr>
                <w:rFonts w:ascii="標楷體" w:eastAsia="標楷體" w:hAnsi="標楷體"/>
                <w:dstrike/>
                <w:color w:val="000000"/>
                <w:sz w:val="19"/>
                <w:szCs w:val="19"/>
              </w:rPr>
            </w:pPr>
          </w:p>
        </w:tc>
        <w:tc>
          <w:tcPr>
            <w:tcW w:w="567"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dstrike/>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1134" w:type="dxa"/>
          </w:tcPr>
          <w:p w:rsidR="00F330AE" w:rsidRPr="00E70868" w:rsidRDefault="00F330AE" w:rsidP="002B6481">
            <w:pPr>
              <w:jc w:val="center"/>
              <w:rPr>
                <w:rFonts w:ascii="標楷體" w:eastAsia="標楷體" w:hAnsi="標楷體"/>
                <w:dstrike/>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r>
      <w:tr w:rsidR="00F330AE" w:rsidRPr="00E70868" w:rsidTr="002B6481">
        <w:trPr>
          <w:cantSplit/>
          <w:trHeight w:val="295"/>
        </w:trPr>
        <w:tc>
          <w:tcPr>
            <w:tcW w:w="2264" w:type="dxa"/>
            <w:vMerge/>
            <w:vAlign w:val="center"/>
          </w:tcPr>
          <w:p w:rsidR="00F330AE" w:rsidRPr="00E70868" w:rsidRDefault="00F330AE" w:rsidP="002B6481">
            <w:pPr>
              <w:jc w:val="both"/>
              <w:rPr>
                <w:rFonts w:ascii="標楷體" w:eastAsia="標楷體" w:hAnsi="標楷體"/>
                <w:color w:val="000000"/>
                <w:sz w:val="19"/>
                <w:szCs w:val="19"/>
                <w:u w:val="single"/>
              </w:rPr>
            </w:pPr>
          </w:p>
        </w:tc>
        <w:tc>
          <w:tcPr>
            <w:tcW w:w="2264" w:type="dxa"/>
          </w:tcPr>
          <w:p w:rsidR="00F330AE" w:rsidRPr="00E70868" w:rsidRDefault="00F330AE" w:rsidP="002B6481">
            <w:pPr>
              <w:spacing w:line="260" w:lineRule="exact"/>
              <w:rPr>
                <w:rFonts w:ascii="標楷體" w:eastAsia="標楷體" w:hAnsi="標楷體"/>
                <w:color w:val="000000"/>
                <w:sz w:val="19"/>
                <w:szCs w:val="19"/>
              </w:rPr>
            </w:pPr>
            <w:r w:rsidRPr="00E70868">
              <w:rPr>
                <w:rFonts w:ascii="標楷體" w:eastAsia="標楷體" w:hAnsi="標楷體" w:hint="eastAsia"/>
                <w:color w:val="000000"/>
                <w:sz w:val="19"/>
                <w:szCs w:val="19"/>
                <w:u w:val="single"/>
              </w:rPr>
              <w:t>私募股票</w:t>
            </w:r>
          </w:p>
        </w:tc>
        <w:tc>
          <w:tcPr>
            <w:tcW w:w="900" w:type="dxa"/>
            <w:vAlign w:val="center"/>
          </w:tcPr>
          <w:p w:rsidR="00F330AE" w:rsidRPr="00E70868" w:rsidRDefault="00F330AE" w:rsidP="002B6481">
            <w:pPr>
              <w:jc w:val="center"/>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dstrike/>
                <w:color w:val="000000"/>
                <w:sz w:val="19"/>
                <w:szCs w:val="19"/>
              </w:rPr>
            </w:pPr>
          </w:p>
        </w:tc>
        <w:tc>
          <w:tcPr>
            <w:tcW w:w="709" w:type="dxa"/>
          </w:tcPr>
          <w:p w:rsidR="00F330AE" w:rsidRPr="00E70868" w:rsidRDefault="00F330AE" w:rsidP="002B6481">
            <w:pPr>
              <w:jc w:val="center"/>
              <w:rPr>
                <w:rFonts w:ascii="標楷體" w:eastAsia="標楷體" w:hAnsi="標楷體"/>
                <w:dstrike/>
                <w:color w:val="000000"/>
                <w:sz w:val="19"/>
                <w:szCs w:val="19"/>
              </w:rPr>
            </w:pPr>
          </w:p>
        </w:tc>
        <w:tc>
          <w:tcPr>
            <w:tcW w:w="567"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u w:val="single"/>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1134"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r>
      <w:tr w:rsidR="00F330AE" w:rsidRPr="00E70868" w:rsidTr="002B6481">
        <w:trPr>
          <w:cantSplit/>
          <w:trHeight w:val="295"/>
        </w:trPr>
        <w:tc>
          <w:tcPr>
            <w:tcW w:w="2264" w:type="dxa"/>
            <w:vMerge w:val="restart"/>
            <w:vAlign w:val="center"/>
          </w:tcPr>
          <w:p w:rsidR="00F330AE" w:rsidRPr="00E70868" w:rsidRDefault="00F330AE" w:rsidP="002B6481">
            <w:pPr>
              <w:spacing w:line="260" w:lineRule="exact"/>
              <w:jc w:val="both"/>
              <w:rPr>
                <w:rFonts w:ascii="標楷體" w:eastAsia="標楷體" w:hAnsi="標楷體"/>
                <w:color w:val="000000"/>
                <w:sz w:val="19"/>
                <w:szCs w:val="19"/>
              </w:rPr>
            </w:pPr>
            <w:r w:rsidRPr="00E70868">
              <w:rPr>
                <w:rFonts w:ascii="標楷體" w:eastAsia="標楷體" w:hAnsi="標楷體" w:hint="eastAsia"/>
                <w:color w:val="000000"/>
                <w:sz w:val="19"/>
                <w:szCs w:val="19"/>
                <w:u w:val="single"/>
              </w:rPr>
              <w:t>其他增資發行新股</w:t>
            </w:r>
          </w:p>
        </w:tc>
        <w:tc>
          <w:tcPr>
            <w:tcW w:w="2264" w:type="dxa"/>
          </w:tcPr>
          <w:p w:rsidR="00F330AE" w:rsidRPr="00E70868" w:rsidRDefault="00F330AE" w:rsidP="002B6481">
            <w:pPr>
              <w:spacing w:line="260" w:lineRule="exact"/>
              <w:rPr>
                <w:rFonts w:ascii="標楷體" w:eastAsia="標楷體" w:hAnsi="標楷體"/>
                <w:color w:val="000000"/>
                <w:sz w:val="19"/>
                <w:szCs w:val="19"/>
              </w:rPr>
            </w:pPr>
            <w:r w:rsidRPr="00E70868">
              <w:rPr>
                <w:rFonts w:ascii="標楷體" w:eastAsia="標楷體" w:hAnsi="標楷體" w:hint="eastAsia"/>
                <w:color w:val="000000"/>
                <w:sz w:val="19"/>
                <w:szCs w:val="19"/>
                <w:u w:val="single"/>
              </w:rPr>
              <w:t>股票</w:t>
            </w:r>
          </w:p>
        </w:tc>
        <w:tc>
          <w:tcPr>
            <w:tcW w:w="900" w:type="dxa"/>
            <w:vAlign w:val="center"/>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567"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1134"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r>
      <w:tr w:rsidR="00F330AE" w:rsidRPr="00E70868" w:rsidTr="002B6481">
        <w:trPr>
          <w:cantSplit/>
          <w:trHeight w:val="295"/>
        </w:trPr>
        <w:tc>
          <w:tcPr>
            <w:tcW w:w="2264" w:type="dxa"/>
            <w:vMerge/>
            <w:vAlign w:val="center"/>
          </w:tcPr>
          <w:p w:rsidR="00F330AE" w:rsidRPr="00E70868" w:rsidRDefault="00F330AE" w:rsidP="002B6481">
            <w:pPr>
              <w:jc w:val="both"/>
              <w:rPr>
                <w:rFonts w:ascii="標楷體" w:eastAsia="標楷體" w:hAnsi="標楷體"/>
                <w:color w:val="000000"/>
                <w:sz w:val="19"/>
                <w:szCs w:val="19"/>
              </w:rPr>
            </w:pPr>
          </w:p>
        </w:tc>
        <w:tc>
          <w:tcPr>
            <w:tcW w:w="2264" w:type="dxa"/>
          </w:tcPr>
          <w:p w:rsidR="00F330AE" w:rsidRPr="00E70868" w:rsidRDefault="00F330AE" w:rsidP="002B6481">
            <w:pPr>
              <w:spacing w:line="260" w:lineRule="exact"/>
              <w:rPr>
                <w:rFonts w:ascii="標楷體" w:eastAsia="標楷體" w:hAnsi="標楷體"/>
                <w:color w:val="000000"/>
                <w:sz w:val="19"/>
                <w:szCs w:val="19"/>
              </w:rPr>
            </w:pPr>
            <w:r w:rsidRPr="00E70868">
              <w:rPr>
                <w:rFonts w:ascii="標楷體" w:eastAsia="標楷體" w:hAnsi="標楷體" w:hint="eastAsia"/>
                <w:color w:val="000000"/>
                <w:sz w:val="19"/>
                <w:szCs w:val="19"/>
                <w:u w:val="single"/>
              </w:rPr>
              <w:t>私募股票</w:t>
            </w:r>
          </w:p>
        </w:tc>
        <w:tc>
          <w:tcPr>
            <w:tcW w:w="900" w:type="dxa"/>
            <w:vAlign w:val="center"/>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567"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1134"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sym w:font="Wingdings 2" w:char="F050"/>
            </w:r>
          </w:p>
        </w:tc>
      </w:tr>
      <w:tr w:rsidR="00F330AE" w:rsidRPr="00E70868" w:rsidTr="002B6481">
        <w:trPr>
          <w:cantSplit/>
          <w:trHeight w:val="295"/>
        </w:trPr>
        <w:tc>
          <w:tcPr>
            <w:tcW w:w="4528" w:type="dxa"/>
            <w:gridSpan w:val="2"/>
            <w:vAlign w:val="center"/>
          </w:tcPr>
          <w:p w:rsidR="00F330AE" w:rsidRPr="00E70868" w:rsidRDefault="00F330AE" w:rsidP="002B6481">
            <w:pPr>
              <w:jc w:val="both"/>
              <w:rPr>
                <w:rFonts w:ascii="標楷體" w:eastAsia="標楷體" w:hAnsi="標楷體"/>
                <w:color w:val="000000"/>
                <w:sz w:val="19"/>
                <w:szCs w:val="19"/>
              </w:rPr>
            </w:pPr>
            <w:r w:rsidRPr="00E70868">
              <w:rPr>
                <w:rFonts w:ascii="標楷體" w:eastAsia="標楷體" w:hAnsi="標楷體" w:hint="eastAsia"/>
                <w:color w:val="000000"/>
                <w:sz w:val="19"/>
                <w:szCs w:val="19"/>
              </w:rPr>
              <w:t>減資</w:t>
            </w:r>
          </w:p>
        </w:tc>
        <w:tc>
          <w:tcPr>
            <w:tcW w:w="900" w:type="dxa"/>
            <w:vAlign w:val="center"/>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c>
          <w:tcPr>
            <w:tcW w:w="567"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1134"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r>
      <w:tr w:rsidR="00F330AE" w:rsidRPr="00E70868" w:rsidTr="002B6481">
        <w:trPr>
          <w:cantSplit/>
          <w:trHeight w:val="295"/>
        </w:trPr>
        <w:tc>
          <w:tcPr>
            <w:tcW w:w="4528" w:type="dxa"/>
            <w:gridSpan w:val="2"/>
            <w:vAlign w:val="center"/>
          </w:tcPr>
          <w:p w:rsidR="00F330AE" w:rsidRPr="00E70868" w:rsidRDefault="00F330AE" w:rsidP="002B6481">
            <w:pPr>
              <w:jc w:val="both"/>
              <w:rPr>
                <w:rFonts w:ascii="標楷體" w:eastAsia="標楷體" w:hAnsi="標楷體"/>
                <w:color w:val="000000"/>
                <w:sz w:val="19"/>
                <w:szCs w:val="19"/>
              </w:rPr>
            </w:pPr>
            <w:r w:rsidRPr="00E70868">
              <w:rPr>
                <w:rFonts w:ascii="標楷體" w:eastAsia="標楷體" w:hAnsi="標楷體" w:hint="eastAsia"/>
                <w:color w:val="000000"/>
                <w:sz w:val="19"/>
                <w:szCs w:val="19"/>
              </w:rPr>
              <w:t>更名</w:t>
            </w:r>
          </w:p>
        </w:tc>
        <w:tc>
          <w:tcPr>
            <w:tcW w:w="900" w:type="dxa"/>
            <w:vAlign w:val="center"/>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dstrike/>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567"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1134"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r>
      <w:tr w:rsidR="00F330AE" w:rsidRPr="00E70868" w:rsidTr="002B6481">
        <w:trPr>
          <w:cantSplit/>
          <w:trHeight w:val="295"/>
        </w:trPr>
        <w:tc>
          <w:tcPr>
            <w:tcW w:w="4528" w:type="dxa"/>
            <w:gridSpan w:val="2"/>
            <w:vAlign w:val="center"/>
          </w:tcPr>
          <w:p w:rsidR="00F330AE" w:rsidRPr="00E70868" w:rsidRDefault="00F330AE" w:rsidP="002B6481">
            <w:pPr>
              <w:jc w:val="both"/>
              <w:rPr>
                <w:rFonts w:ascii="標楷體" w:eastAsia="標楷體" w:hAnsi="標楷體"/>
                <w:color w:val="000000"/>
                <w:sz w:val="19"/>
                <w:szCs w:val="19"/>
              </w:rPr>
            </w:pPr>
            <w:r w:rsidRPr="00E70868">
              <w:rPr>
                <w:rFonts w:ascii="標楷體" w:eastAsia="標楷體" w:hAnsi="標楷體" w:hint="eastAsia"/>
                <w:color w:val="000000"/>
                <w:sz w:val="19"/>
                <w:szCs w:val="19"/>
                <w:u w:val="single"/>
              </w:rPr>
              <w:t>變更面額</w:t>
            </w:r>
          </w:p>
        </w:tc>
        <w:tc>
          <w:tcPr>
            <w:tcW w:w="900" w:type="dxa"/>
            <w:vAlign w:val="center"/>
          </w:tcPr>
          <w:p w:rsidR="00F330AE" w:rsidRPr="00E70868" w:rsidRDefault="00F330AE" w:rsidP="002B6481">
            <w:pPr>
              <w:jc w:val="center"/>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dstrike/>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567"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u w:val="single"/>
              </w:rPr>
              <w:sym w:font="Wingdings 2" w:char="F050"/>
            </w: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1134"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u w:val="single"/>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r>
      <w:tr w:rsidR="00F330AE" w:rsidRPr="00E70868" w:rsidTr="002B6481">
        <w:trPr>
          <w:cantSplit/>
          <w:trHeight w:val="295"/>
        </w:trPr>
        <w:tc>
          <w:tcPr>
            <w:tcW w:w="2264" w:type="dxa"/>
            <w:vMerge w:val="restart"/>
            <w:vAlign w:val="center"/>
          </w:tcPr>
          <w:p w:rsidR="00F330AE" w:rsidRPr="00E70868" w:rsidRDefault="00F330AE" w:rsidP="002B6481">
            <w:pPr>
              <w:jc w:val="both"/>
              <w:rPr>
                <w:rFonts w:ascii="標楷體" w:eastAsia="標楷體" w:hAnsi="標楷體"/>
                <w:color w:val="000000"/>
                <w:sz w:val="19"/>
                <w:szCs w:val="19"/>
              </w:rPr>
            </w:pPr>
            <w:r w:rsidRPr="00E70868">
              <w:rPr>
                <w:rFonts w:ascii="標楷體" w:eastAsia="標楷體" w:hAnsi="標楷體" w:hint="eastAsia"/>
                <w:color w:val="000000"/>
                <w:sz w:val="19"/>
                <w:szCs w:val="19"/>
              </w:rPr>
              <w:t>發行轉(交)換公司債</w:t>
            </w:r>
          </w:p>
        </w:tc>
        <w:tc>
          <w:tcPr>
            <w:tcW w:w="2264" w:type="dxa"/>
          </w:tcPr>
          <w:p w:rsidR="00F330AE" w:rsidRPr="00E70868" w:rsidRDefault="00F330AE" w:rsidP="002B6481">
            <w:pPr>
              <w:spacing w:line="260" w:lineRule="exact"/>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t>上市(櫃)</w:t>
            </w:r>
          </w:p>
        </w:tc>
        <w:tc>
          <w:tcPr>
            <w:tcW w:w="900" w:type="dxa"/>
            <w:vAlign w:val="center"/>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c>
          <w:tcPr>
            <w:tcW w:w="567"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1134"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r>
      <w:tr w:rsidR="00F330AE" w:rsidRPr="00E70868" w:rsidTr="002B6481">
        <w:trPr>
          <w:cantSplit/>
          <w:trHeight w:val="295"/>
        </w:trPr>
        <w:tc>
          <w:tcPr>
            <w:tcW w:w="2264" w:type="dxa"/>
            <w:vMerge/>
            <w:vAlign w:val="center"/>
          </w:tcPr>
          <w:p w:rsidR="00F330AE" w:rsidRPr="00E70868" w:rsidRDefault="00F330AE" w:rsidP="002B6481">
            <w:pPr>
              <w:jc w:val="both"/>
              <w:rPr>
                <w:rFonts w:ascii="標楷體" w:eastAsia="標楷體" w:hAnsi="標楷體"/>
                <w:color w:val="000000"/>
                <w:sz w:val="19"/>
                <w:szCs w:val="19"/>
              </w:rPr>
            </w:pPr>
          </w:p>
        </w:tc>
        <w:tc>
          <w:tcPr>
            <w:tcW w:w="2264" w:type="dxa"/>
          </w:tcPr>
          <w:p w:rsidR="00F330AE" w:rsidRPr="00E70868" w:rsidRDefault="00F330AE" w:rsidP="002B6481">
            <w:pPr>
              <w:spacing w:line="260" w:lineRule="exact"/>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t>私募</w:t>
            </w:r>
          </w:p>
        </w:tc>
        <w:tc>
          <w:tcPr>
            <w:tcW w:w="900"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567" w:type="dxa"/>
            <w:vAlign w:val="center"/>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8"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851"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sym w:font="Wingdings 2" w:char="F050"/>
            </w:r>
          </w:p>
        </w:tc>
        <w:tc>
          <w:tcPr>
            <w:tcW w:w="1134"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u w:val="single"/>
              </w:rPr>
              <w:sym w:font="Wingdings 2" w:char="F050"/>
            </w:r>
          </w:p>
        </w:tc>
      </w:tr>
      <w:tr w:rsidR="00F330AE" w:rsidRPr="00E70868" w:rsidTr="002B6481">
        <w:trPr>
          <w:cantSplit/>
          <w:trHeight w:val="295"/>
        </w:trPr>
        <w:tc>
          <w:tcPr>
            <w:tcW w:w="4528" w:type="dxa"/>
            <w:gridSpan w:val="2"/>
            <w:vAlign w:val="center"/>
          </w:tcPr>
          <w:p w:rsidR="00F330AE" w:rsidRPr="00E70868" w:rsidRDefault="00F330AE" w:rsidP="002B6481">
            <w:pPr>
              <w:jc w:val="both"/>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t>發行認購(售)權證</w:t>
            </w:r>
          </w:p>
        </w:tc>
        <w:tc>
          <w:tcPr>
            <w:tcW w:w="900" w:type="dxa"/>
            <w:vAlign w:val="center"/>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u w:val="single"/>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567"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1134"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r>
      <w:tr w:rsidR="00F330AE" w:rsidRPr="00E70868" w:rsidTr="002B6481">
        <w:trPr>
          <w:cantSplit/>
          <w:trHeight w:val="295"/>
        </w:trPr>
        <w:tc>
          <w:tcPr>
            <w:tcW w:w="4528" w:type="dxa"/>
            <w:gridSpan w:val="2"/>
            <w:vAlign w:val="center"/>
          </w:tcPr>
          <w:p w:rsidR="00F330AE" w:rsidRPr="00E70868" w:rsidRDefault="00F330AE" w:rsidP="002B6481">
            <w:pPr>
              <w:jc w:val="both"/>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t>發行附認股權公司債（非分離型）</w:t>
            </w:r>
          </w:p>
        </w:tc>
        <w:tc>
          <w:tcPr>
            <w:tcW w:w="900" w:type="dxa"/>
            <w:vAlign w:val="center"/>
          </w:tcPr>
          <w:p w:rsidR="00F330AE" w:rsidRPr="00E70868" w:rsidRDefault="00F330AE" w:rsidP="002B6481">
            <w:pPr>
              <w:jc w:val="center"/>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u w:val="single"/>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c>
          <w:tcPr>
            <w:tcW w:w="567"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u w:val="single"/>
              </w:rPr>
              <w:sym w:font="Wingdings 2" w:char="F050"/>
            </w:r>
          </w:p>
        </w:tc>
        <w:tc>
          <w:tcPr>
            <w:tcW w:w="1134"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r>
      <w:tr w:rsidR="00F330AE" w:rsidRPr="00E70868" w:rsidTr="002B6481">
        <w:trPr>
          <w:cantSplit/>
          <w:trHeight w:val="295"/>
        </w:trPr>
        <w:tc>
          <w:tcPr>
            <w:tcW w:w="4528" w:type="dxa"/>
            <w:gridSpan w:val="2"/>
            <w:vAlign w:val="center"/>
          </w:tcPr>
          <w:p w:rsidR="00F330AE" w:rsidRPr="00E70868" w:rsidRDefault="00F330AE" w:rsidP="002B6481">
            <w:pPr>
              <w:jc w:val="both"/>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lastRenderedPageBreak/>
              <w:t>發行認股權憑證</w:t>
            </w:r>
          </w:p>
        </w:tc>
        <w:tc>
          <w:tcPr>
            <w:tcW w:w="900" w:type="dxa"/>
            <w:vAlign w:val="center"/>
          </w:tcPr>
          <w:p w:rsidR="00F330AE" w:rsidRPr="00E70868" w:rsidRDefault="00F330AE" w:rsidP="002B6481">
            <w:pPr>
              <w:jc w:val="center"/>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c>
          <w:tcPr>
            <w:tcW w:w="567"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u w:val="single"/>
              </w:rPr>
            </w:pPr>
            <w:r w:rsidRPr="00E70868">
              <w:rPr>
                <w:rFonts w:ascii="標楷體" w:eastAsia="標楷體" w:hAnsi="標楷體" w:hint="eastAsia"/>
                <w:color w:val="000000"/>
                <w:sz w:val="19"/>
                <w:szCs w:val="19"/>
                <w:u w:val="single"/>
              </w:rPr>
              <w:sym w:font="Wingdings 2" w:char="F050"/>
            </w:r>
          </w:p>
        </w:tc>
        <w:tc>
          <w:tcPr>
            <w:tcW w:w="1134"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r>
      <w:tr w:rsidR="00F330AE" w:rsidRPr="00E70868" w:rsidTr="002B6481">
        <w:trPr>
          <w:cantSplit/>
          <w:trHeight w:val="295"/>
        </w:trPr>
        <w:tc>
          <w:tcPr>
            <w:tcW w:w="4528" w:type="dxa"/>
            <w:gridSpan w:val="2"/>
            <w:vAlign w:val="center"/>
          </w:tcPr>
          <w:p w:rsidR="00F330AE" w:rsidRPr="00E70868" w:rsidRDefault="00F330AE" w:rsidP="002B6481">
            <w:pPr>
              <w:jc w:val="both"/>
              <w:rPr>
                <w:rFonts w:ascii="標楷體" w:eastAsia="標楷體" w:hAnsi="標楷體"/>
                <w:color w:val="000000"/>
                <w:sz w:val="19"/>
                <w:szCs w:val="19"/>
              </w:rPr>
            </w:pPr>
            <w:proofErr w:type="gramStart"/>
            <w:r w:rsidRPr="00E70868">
              <w:rPr>
                <w:rFonts w:ascii="標楷體" w:eastAsia="標楷體" w:hAnsi="標楷體" w:hint="eastAsia"/>
                <w:color w:val="000000"/>
                <w:sz w:val="19"/>
                <w:szCs w:val="19"/>
              </w:rPr>
              <w:t>原非在</w:t>
            </w:r>
            <w:proofErr w:type="gramEnd"/>
            <w:r w:rsidRPr="00E70868">
              <w:rPr>
                <w:rFonts w:ascii="標楷體" w:eastAsia="標楷體" w:hAnsi="標楷體" w:hint="eastAsia"/>
                <w:color w:val="000000"/>
                <w:sz w:val="19"/>
                <w:szCs w:val="19"/>
              </w:rPr>
              <w:t>中華民國境內募集發行之股票換票</w:t>
            </w:r>
          </w:p>
        </w:tc>
        <w:tc>
          <w:tcPr>
            <w:tcW w:w="900" w:type="dxa"/>
            <w:vAlign w:val="center"/>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979" w:type="dxa"/>
            <w:vAlign w:val="center"/>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c>
          <w:tcPr>
            <w:tcW w:w="567"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851"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708" w:type="dxa"/>
          </w:tcPr>
          <w:p w:rsidR="00F330AE" w:rsidRPr="00E70868" w:rsidRDefault="00F330AE" w:rsidP="002B6481">
            <w:pPr>
              <w:jc w:val="center"/>
              <w:rPr>
                <w:rFonts w:ascii="標楷體" w:eastAsia="標楷體" w:hAnsi="標楷體"/>
                <w:color w:val="000000"/>
                <w:sz w:val="19"/>
                <w:szCs w:val="19"/>
              </w:rPr>
            </w:pPr>
          </w:p>
        </w:tc>
        <w:tc>
          <w:tcPr>
            <w:tcW w:w="709" w:type="dxa"/>
          </w:tcPr>
          <w:p w:rsidR="00F330AE" w:rsidRPr="00E70868" w:rsidRDefault="00F330AE" w:rsidP="002B6481">
            <w:pPr>
              <w:jc w:val="center"/>
              <w:rPr>
                <w:rFonts w:ascii="標楷體" w:eastAsia="標楷體" w:hAnsi="標楷體"/>
                <w:color w:val="000000"/>
                <w:sz w:val="19"/>
                <w:szCs w:val="19"/>
              </w:rPr>
            </w:pPr>
          </w:p>
        </w:tc>
        <w:tc>
          <w:tcPr>
            <w:tcW w:w="1134" w:type="dxa"/>
          </w:tcPr>
          <w:p w:rsidR="00F330AE" w:rsidRPr="00E70868" w:rsidRDefault="00F330AE" w:rsidP="002B6481">
            <w:pPr>
              <w:jc w:val="center"/>
              <w:rPr>
                <w:rFonts w:ascii="標楷體" w:eastAsia="標楷體" w:hAnsi="標楷體"/>
                <w:color w:val="000000"/>
                <w:sz w:val="19"/>
                <w:szCs w:val="19"/>
              </w:rPr>
            </w:pPr>
            <w:r w:rsidRPr="00E70868">
              <w:rPr>
                <w:rFonts w:ascii="標楷體" w:eastAsia="標楷體" w:hAnsi="標楷體" w:hint="eastAsia"/>
                <w:color w:val="000000"/>
                <w:sz w:val="19"/>
                <w:szCs w:val="19"/>
              </w:rPr>
              <w:sym w:font="Wingdings 2" w:char="F050"/>
            </w:r>
          </w:p>
        </w:tc>
        <w:tc>
          <w:tcPr>
            <w:tcW w:w="709" w:type="dxa"/>
          </w:tcPr>
          <w:p w:rsidR="00F330AE" w:rsidRPr="00E70868" w:rsidRDefault="00F330AE" w:rsidP="002B6481">
            <w:pPr>
              <w:jc w:val="center"/>
              <w:rPr>
                <w:rFonts w:ascii="標楷體" w:eastAsia="標楷體" w:hAnsi="標楷體"/>
                <w:color w:val="000000"/>
                <w:sz w:val="19"/>
                <w:szCs w:val="19"/>
              </w:rPr>
            </w:pPr>
          </w:p>
        </w:tc>
      </w:tr>
    </w:tbl>
    <w:p w:rsidR="00F330AE" w:rsidRPr="00995998" w:rsidRDefault="00F330AE" w:rsidP="00F330AE">
      <w:pPr>
        <w:spacing w:line="220" w:lineRule="exact"/>
        <w:rPr>
          <w:rFonts w:ascii="標楷體" w:eastAsia="標楷體" w:hAnsi="標楷體"/>
          <w:color w:val="000000"/>
          <w:sz w:val="19"/>
          <w:szCs w:val="19"/>
        </w:rPr>
      </w:pPr>
      <w:proofErr w:type="gramStart"/>
      <w:r w:rsidRPr="00995998">
        <w:rPr>
          <w:rFonts w:ascii="標楷體" w:eastAsia="標楷體" w:hAnsi="標楷體" w:hint="eastAsia"/>
          <w:color w:val="000000"/>
          <w:sz w:val="19"/>
          <w:szCs w:val="19"/>
        </w:rPr>
        <w:t>註一</w:t>
      </w:r>
      <w:proofErr w:type="gramEnd"/>
      <w:r w:rsidRPr="00995998">
        <w:rPr>
          <w:rFonts w:ascii="標楷體" w:eastAsia="標楷體" w:hAnsi="標楷體" w:hint="eastAsia"/>
          <w:color w:val="000000"/>
          <w:sz w:val="19"/>
          <w:szCs w:val="19"/>
        </w:rPr>
        <w:t>：除依規定經電子簽章之電子文件申請者外，應</w:t>
      </w:r>
      <w:proofErr w:type="gramStart"/>
      <w:r w:rsidRPr="00995998">
        <w:rPr>
          <w:rFonts w:ascii="標楷體" w:eastAsia="標楷體" w:hAnsi="標楷體" w:hint="eastAsia"/>
          <w:color w:val="000000"/>
          <w:sz w:val="19"/>
          <w:szCs w:val="19"/>
        </w:rPr>
        <w:t>簽蓋原留</w:t>
      </w:r>
      <w:proofErr w:type="gramEnd"/>
      <w:r w:rsidRPr="00995998">
        <w:rPr>
          <w:rFonts w:ascii="標楷體" w:eastAsia="標楷體" w:hAnsi="標楷體" w:hint="eastAsia"/>
          <w:color w:val="000000"/>
          <w:sz w:val="19"/>
          <w:szCs w:val="19"/>
        </w:rPr>
        <w:t>印鑑。</w:t>
      </w:r>
    </w:p>
    <w:p w:rsidR="00124BB5" w:rsidRDefault="00F330AE" w:rsidP="00F330AE">
      <w:proofErr w:type="gramStart"/>
      <w:r w:rsidRPr="00995998">
        <w:rPr>
          <w:rFonts w:ascii="標楷體" w:eastAsia="標楷體" w:hAnsi="標楷體" w:hint="eastAsia"/>
          <w:color w:val="000000"/>
          <w:sz w:val="19"/>
          <w:szCs w:val="19"/>
        </w:rPr>
        <w:t>註</w:t>
      </w:r>
      <w:proofErr w:type="gramEnd"/>
      <w:r w:rsidRPr="00995998">
        <w:rPr>
          <w:rFonts w:ascii="標楷體" w:eastAsia="標楷體" w:hAnsi="標楷體" w:hint="eastAsia"/>
          <w:color w:val="000000"/>
          <w:sz w:val="19"/>
          <w:szCs w:val="19"/>
        </w:rPr>
        <w:t>二：登錄原因為無償配股、現金認股者，指發行人於公開資訊觀測站之決定分派股息及紅利或其他利益之基準日公告，或依公司法第252條及第273條之增資發行新股公告；登錄原因為私募股票、轉換公司債及附認股權公司債者，為發行人於公開資訊觀測站「私募專區」公告之股款或價款繳納完成日起十五日內應申報之相關資訊。</w:t>
      </w:r>
    </w:p>
    <w:sectPr w:rsidR="00124BB5" w:rsidSect="00F330AE">
      <w:pgSz w:w="16838" w:h="11906" w:orient="landscape" w:code="9"/>
      <w:pgMar w:top="1797" w:right="1418" w:bottom="1797" w:left="1560"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楷書體W5">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AE"/>
    <w:rsid w:val="00014A4C"/>
    <w:rsid w:val="00124BB5"/>
    <w:rsid w:val="00E757C7"/>
    <w:rsid w:val="00F330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B9C08-9AA6-423A-9B92-743887B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0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330AE"/>
    <w:pPr>
      <w:adjustRightInd w:val="0"/>
      <w:spacing w:line="500" w:lineRule="atLeast"/>
      <w:ind w:left="1706" w:hangingChars="533" w:hanging="1706"/>
    </w:pPr>
    <w:rPr>
      <w:rFonts w:ascii="華康楷書體W5" w:eastAsia="標楷體"/>
      <w:spacing w:val="20"/>
      <w:sz w:val="28"/>
    </w:rPr>
  </w:style>
  <w:style w:type="character" w:customStyle="1" w:styleId="a4">
    <w:name w:val="本文縮排 字元"/>
    <w:basedOn w:val="a0"/>
    <w:link w:val="a3"/>
    <w:rsid w:val="00F330AE"/>
    <w:rPr>
      <w:rFonts w:ascii="華康楷書體W5" w:eastAsia="標楷體" w:hAnsi="Times New Roman" w:cs="Times New Roman"/>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周莎蕊</dc:creator>
  <cp:keywords/>
  <dc:description/>
  <cp:lastModifiedBy>尤君行</cp:lastModifiedBy>
  <cp:revision>2</cp:revision>
  <dcterms:created xsi:type="dcterms:W3CDTF">2019-08-30T11:39:00Z</dcterms:created>
  <dcterms:modified xsi:type="dcterms:W3CDTF">2019-08-30T11:39:00Z</dcterms:modified>
</cp:coreProperties>
</file>