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72" w:rsidRPr="00F50DD6" w:rsidRDefault="00092572" w:rsidP="00092572">
      <w:pPr>
        <w:widowControl/>
        <w:shd w:val="clear" w:color="auto" w:fill="F8F8F8"/>
        <w:spacing w:before="240" w:after="240" w:line="288" w:lineRule="atLeast"/>
        <w:outlineLvl w:val="1"/>
        <w:rPr>
          <w:rFonts w:ascii="微軟正黑體" w:eastAsia="微軟正黑體" w:hAnsi="微軟正黑體" w:cs="Helvetica"/>
          <w:color w:val="000000"/>
          <w:kern w:val="0"/>
          <w:sz w:val="54"/>
          <w:szCs w:val="54"/>
        </w:rPr>
      </w:pPr>
      <w:r w:rsidRPr="00F50DD6">
        <w:rPr>
          <w:rFonts w:ascii="微軟正黑體" w:eastAsia="微軟正黑體" w:hAnsi="微軟正黑體" w:cs="Helvetica"/>
          <w:color w:val="000000"/>
          <w:kern w:val="0"/>
          <w:sz w:val="54"/>
          <w:szCs w:val="54"/>
        </w:rPr>
        <w:t>Financing Service</w:t>
      </w:r>
    </w:p>
    <w:p w:rsidR="00005055" w:rsidRPr="00F50DD6" w:rsidRDefault="00092572">
      <w:pPr>
        <w:rPr>
          <w:rFonts w:ascii="微軟正黑體" w:eastAsia="微軟正黑體" w:hAnsi="微軟正黑體" w:cs="Helvetica"/>
          <w:color w:val="000000"/>
          <w:sz w:val="28"/>
          <w:szCs w:val="28"/>
          <w:shd w:val="clear" w:color="auto" w:fill="F8F8F8"/>
        </w:rPr>
      </w:pPr>
      <w:r w:rsidRPr="00F50DD6">
        <w:rPr>
          <w:rFonts w:ascii="微軟正黑體" w:eastAsia="微軟正黑體" w:hAnsi="微軟正黑體" w:cs="Helvetica"/>
          <w:color w:val="000000"/>
          <w:sz w:val="28"/>
          <w:szCs w:val="28"/>
          <w:shd w:val="clear" w:color="auto" w:fill="F8F8F8"/>
        </w:rPr>
        <w:t>The competent authority approved in 2016 for the securities firms to conduct lending business for unrestricted purposes and securities finance companies to handle lending business using securities as collateral, which facilitates investors' flexible use in the invested assets, improves capital utilization of securities firms and securities finance companies, and increases their income sources.</w:t>
      </w:r>
    </w:p>
    <w:p w:rsidR="00092572" w:rsidRPr="00F50DD6" w:rsidRDefault="00092572">
      <w:pPr>
        <w:rPr>
          <w:rFonts w:ascii="微軟正黑體" w:eastAsia="微軟正黑體" w:hAnsi="微軟正黑體" w:cs="Helvetica"/>
          <w:color w:val="000000"/>
          <w:sz w:val="28"/>
          <w:szCs w:val="28"/>
          <w:shd w:val="clear" w:color="auto" w:fill="F8F8F8"/>
        </w:rPr>
      </w:pPr>
    </w:p>
    <w:p w:rsidR="00092572" w:rsidRPr="00F50DD6" w:rsidRDefault="00092572" w:rsidP="00092572">
      <w:pPr>
        <w:pStyle w:val="Web"/>
        <w:shd w:val="clear" w:color="auto" w:fill="FFFFFF"/>
        <w:spacing w:before="0" w:beforeAutospacing="0" w:after="240" w:afterAutospacing="0"/>
        <w:jc w:val="both"/>
        <w:rPr>
          <w:rFonts w:ascii="微軟正黑體" w:eastAsia="微軟正黑體" w:hAnsi="微軟正黑體" w:cs="Helvetica"/>
          <w:color w:val="000000"/>
          <w:sz w:val="28"/>
          <w:szCs w:val="28"/>
        </w:rPr>
      </w:pPr>
      <w:r w:rsidRPr="00F50DD6">
        <w:rPr>
          <w:rFonts w:ascii="微軟正黑體" w:eastAsia="微軟正黑體" w:hAnsi="微軟正黑體" w:cs="Helvetica"/>
          <w:color w:val="000000"/>
          <w:sz w:val="28"/>
          <w:szCs w:val="28"/>
        </w:rPr>
        <w:t>In 2006, the competent authority authorized lending in connection with securities business by securities firms, including T+5 and semi-annual businesses as well as semi-annual settlement financing for securities finance companies.</w:t>
      </w:r>
    </w:p>
    <w:p w:rsidR="00092572" w:rsidRPr="00F50DD6" w:rsidRDefault="00092572" w:rsidP="00092572">
      <w:pPr>
        <w:pStyle w:val="Web"/>
        <w:shd w:val="clear" w:color="auto" w:fill="FFFFFF"/>
        <w:spacing w:before="240" w:beforeAutospacing="0" w:after="240" w:afterAutospacing="0"/>
        <w:jc w:val="both"/>
        <w:rPr>
          <w:rFonts w:ascii="微軟正黑體" w:eastAsia="微軟正黑體" w:hAnsi="微軟正黑體" w:cs="Helvetica"/>
          <w:color w:val="000000"/>
          <w:sz w:val="28"/>
          <w:szCs w:val="28"/>
        </w:rPr>
      </w:pPr>
      <w:r w:rsidRPr="00F50DD6">
        <w:rPr>
          <w:rFonts w:ascii="微軟正黑體" w:eastAsia="微軟正黑體" w:hAnsi="微軟正黑體" w:cs="Helvetica"/>
          <w:color w:val="000000"/>
          <w:sz w:val="28"/>
          <w:szCs w:val="28"/>
        </w:rPr>
        <w:t>In line with the measures of the advanced version of the securities market ascension program, the competent authority approved in 2016 for the securities firms to conduct lending business for unrestricted purposes and securities finance companies to handle lending business using securities as collateral, which facilitates investors' flexible use in the invested assets, improves capital utilization of securities firms and securities finance companies, and increases their income sources.finance companies, and increases their income sources.</w:t>
      </w:r>
    </w:p>
    <w:p w:rsidR="00092572" w:rsidRPr="00F50DD6" w:rsidRDefault="00092572" w:rsidP="00092572">
      <w:pPr>
        <w:pStyle w:val="Web"/>
        <w:shd w:val="clear" w:color="auto" w:fill="FFFFFF"/>
        <w:spacing w:before="240" w:beforeAutospacing="0" w:after="240" w:afterAutospacing="0"/>
        <w:jc w:val="both"/>
        <w:rPr>
          <w:rFonts w:ascii="微軟正黑體" w:eastAsia="微軟正黑體" w:hAnsi="微軟正黑體" w:cs="Helvetica"/>
          <w:color w:val="000000"/>
          <w:sz w:val="28"/>
          <w:szCs w:val="28"/>
        </w:rPr>
      </w:pPr>
      <w:r w:rsidRPr="00F50DD6">
        <w:rPr>
          <w:rFonts w:ascii="微軟正黑體" w:eastAsia="微軟正黑體" w:hAnsi="微軟正黑體" w:cs="Helvetica"/>
          <w:color w:val="000000"/>
          <w:sz w:val="28"/>
          <w:szCs w:val="28"/>
        </w:rPr>
        <w:t>The Company consequently appointed the securities firms and securities finance companies to handle the aforementioned businesses, provide book-entry operations such as collateral delivery, return, disposition, high weighted new shares transfer, and account reconciliation, and cooperate with investors' need for collateral category changes. The implementation started on May 3, 2016.</w:t>
      </w:r>
      <w:bookmarkStart w:id="0" w:name="_GoBack"/>
      <w:bookmarkEnd w:id="0"/>
    </w:p>
    <w:p w:rsidR="00092572" w:rsidRPr="00F50DD6" w:rsidRDefault="00092572" w:rsidP="00092572">
      <w:pPr>
        <w:pStyle w:val="Web"/>
        <w:shd w:val="clear" w:color="auto" w:fill="FFFFFF"/>
        <w:spacing w:before="240" w:beforeAutospacing="0" w:after="0" w:afterAutospacing="0"/>
        <w:jc w:val="both"/>
        <w:rPr>
          <w:rFonts w:ascii="微軟正黑體" w:eastAsia="微軟正黑體" w:hAnsi="微軟正黑體" w:cs="Helvetica"/>
          <w:color w:val="000000"/>
          <w:sz w:val="28"/>
          <w:szCs w:val="28"/>
        </w:rPr>
      </w:pPr>
      <w:r w:rsidRPr="00F50DD6">
        <w:rPr>
          <w:rFonts w:ascii="微軟正黑體" w:eastAsia="微軟正黑體" w:hAnsi="微軟正黑體" w:cs="Helvetica"/>
          <w:color w:val="000000"/>
          <w:sz w:val="28"/>
          <w:szCs w:val="28"/>
        </w:rPr>
        <w:t>For detailed operation procedures, please refer to "Taiwan Depository &amp; Clearing Corporation Directions for the Handling by Participants of Book-Entry Operations for Securities and Money Lending" on the official website of the Taiwan Depository &amp; Clearing Corporation, under the Regulations-Securities category.</w:t>
      </w:r>
    </w:p>
    <w:p w:rsidR="00092572" w:rsidRPr="00F50DD6" w:rsidRDefault="00092572">
      <w:pPr>
        <w:rPr>
          <w:rFonts w:ascii="微軟正黑體" w:eastAsia="微軟正黑體" w:hAnsi="微軟正黑體"/>
        </w:rPr>
      </w:pPr>
    </w:p>
    <w:sectPr w:rsidR="00092572" w:rsidRPr="00F50D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D6" w:rsidRDefault="00F50DD6" w:rsidP="00F50DD6">
      <w:r>
        <w:separator/>
      </w:r>
    </w:p>
  </w:endnote>
  <w:endnote w:type="continuationSeparator" w:id="0">
    <w:p w:rsidR="00F50DD6" w:rsidRDefault="00F50DD6" w:rsidP="00F5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D6" w:rsidRDefault="00F50DD6" w:rsidP="00F50DD6">
      <w:r>
        <w:separator/>
      </w:r>
    </w:p>
  </w:footnote>
  <w:footnote w:type="continuationSeparator" w:id="0">
    <w:p w:rsidR="00F50DD6" w:rsidRDefault="00F50DD6" w:rsidP="00F50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72"/>
    <w:rsid w:val="00005055"/>
    <w:rsid w:val="00092572"/>
    <w:rsid w:val="00F50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BC93E5-FD9C-4626-A61C-64E7EBB1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257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F50DD6"/>
    <w:pPr>
      <w:tabs>
        <w:tab w:val="center" w:pos="4153"/>
        <w:tab w:val="right" w:pos="8306"/>
      </w:tabs>
      <w:snapToGrid w:val="0"/>
    </w:pPr>
    <w:rPr>
      <w:sz w:val="20"/>
      <w:szCs w:val="20"/>
    </w:rPr>
  </w:style>
  <w:style w:type="character" w:customStyle="1" w:styleId="a4">
    <w:name w:val="頁首 字元"/>
    <w:basedOn w:val="a0"/>
    <w:link w:val="a3"/>
    <w:uiPriority w:val="99"/>
    <w:rsid w:val="00F50DD6"/>
    <w:rPr>
      <w:sz w:val="20"/>
      <w:szCs w:val="20"/>
    </w:rPr>
  </w:style>
  <w:style w:type="paragraph" w:styleId="a5">
    <w:name w:val="footer"/>
    <w:basedOn w:val="a"/>
    <w:link w:val="a6"/>
    <w:uiPriority w:val="99"/>
    <w:unhideWhenUsed/>
    <w:rsid w:val="00F50DD6"/>
    <w:pPr>
      <w:tabs>
        <w:tab w:val="center" w:pos="4153"/>
        <w:tab w:val="right" w:pos="8306"/>
      </w:tabs>
      <w:snapToGrid w:val="0"/>
    </w:pPr>
    <w:rPr>
      <w:sz w:val="20"/>
      <w:szCs w:val="20"/>
    </w:rPr>
  </w:style>
  <w:style w:type="character" w:customStyle="1" w:styleId="a6">
    <w:name w:val="頁尾 字元"/>
    <w:basedOn w:val="a0"/>
    <w:link w:val="a5"/>
    <w:uiPriority w:val="99"/>
    <w:rsid w:val="00F50D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2255">
      <w:bodyDiv w:val="1"/>
      <w:marLeft w:val="0"/>
      <w:marRight w:val="0"/>
      <w:marTop w:val="0"/>
      <w:marBottom w:val="0"/>
      <w:divBdr>
        <w:top w:val="none" w:sz="0" w:space="0" w:color="auto"/>
        <w:left w:val="none" w:sz="0" w:space="0" w:color="auto"/>
        <w:bottom w:val="none" w:sz="0" w:space="0" w:color="auto"/>
        <w:right w:val="none" w:sz="0" w:space="0" w:color="auto"/>
      </w:divBdr>
    </w:div>
    <w:div w:id="189596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呂俊寬</dc:creator>
  <cp:keywords/>
  <dc:description/>
  <cp:lastModifiedBy>呂俊寬</cp:lastModifiedBy>
  <cp:revision>2</cp:revision>
  <dcterms:created xsi:type="dcterms:W3CDTF">2023-03-22T06:59:00Z</dcterms:created>
  <dcterms:modified xsi:type="dcterms:W3CDTF">2023-04-19T07:27:00Z</dcterms:modified>
</cp:coreProperties>
</file>