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D45" w:rsidRPr="000E7FF3" w:rsidRDefault="003F2D45" w:rsidP="003F2D45">
      <w:pPr>
        <w:rPr>
          <w:rFonts w:ascii="微軟正黑體" w:eastAsia="微軟正黑體" w:hAnsi="微軟正黑體"/>
          <w:b/>
          <w:sz w:val="44"/>
          <w:szCs w:val="44"/>
        </w:rPr>
      </w:pPr>
      <w:r w:rsidRPr="000E7FF3">
        <w:rPr>
          <w:rFonts w:ascii="微軟正黑體" w:eastAsia="微軟正黑體" w:hAnsi="微軟正黑體"/>
          <w:b/>
          <w:sz w:val="44"/>
          <w:szCs w:val="44"/>
        </w:rPr>
        <w:t>Abandonment of Securities Without Stock Affairs</w:t>
      </w:r>
    </w:p>
    <w:p w:rsidR="008F55AF" w:rsidRPr="000E7FF3" w:rsidRDefault="003F2D45" w:rsidP="003F2D45">
      <w:pPr>
        <w:rPr>
          <w:rFonts w:ascii="微軟正黑體" w:eastAsia="微軟正黑體" w:hAnsi="微軟正黑體"/>
          <w:sz w:val="28"/>
          <w:szCs w:val="28"/>
        </w:rPr>
      </w:pPr>
      <w:r w:rsidRPr="000E7FF3">
        <w:rPr>
          <w:rFonts w:ascii="微軟正黑體" w:eastAsia="微軟正黑體" w:hAnsi="微軟正黑體"/>
          <w:sz w:val="28"/>
          <w:szCs w:val="28"/>
        </w:rPr>
        <w:t>As of April 1, 2013, TDCC provides the securities abandonment service for securities without stock affairs units. Investors can apply for a transfer with the participant using a post office's legal attest letter, application form, and relevant documents.</w:t>
      </w:r>
    </w:p>
    <w:p w:rsidR="003F2D45" w:rsidRPr="000E7FF3" w:rsidRDefault="003F2D45" w:rsidP="003F2D45">
      <w:pPr>
        <w:rPr>
          <w:rFonts w:ascii="微軟正黑體" w:eastAsia="微軟正黑體" w:hAnsi="微軟正黑體"/>
          <w:sz w:val="28"/>
          <w:szCs w:val="28"/>
        </w:rPr>
      </w:pPr>
    </w:p>
    <w:p w:rsidR="003F2D45" w:rsidRPr="000E7FF3" w:rsidRDefault="003F2D45" w:rsidP="003F2D45">
      <w:pPr>
        <w:widowControl/>
        <w:shd w:val="clear" w:color="auto" w:fill="FFFFFF"/>
        <w:spacing w:after="240"/>
        <w:jc w:val="both"/>
        <w:rPr>
          <w:rFonts w:ascii="微軟正黑體" w:eastAsia="微軟正黑體" w:hAnsi="微軟正黑體" w:cs="Helvetica"/>
          <w:color w:val="000000"/>
          <w:kern w:val="0"/>
          <w:sz w:val="28"/>
          <w:szCs w:val="28"/>
        </w:rPr>
      </w:pPr>
      <w:r w:rsidRPr="000E7FF3">
        <w:rPr>
          <w:rFonts w:ascii="微軟正黑體" w:eastAsia="微軟正黑體" w:hAnsi="微軟正黑體" w:cs="Helvetica"/>
          <w:color w:val="000000"/>
          <w:kern w:val="0"/>
          <w:sz w:val="28"/>
          <w:szCs w:val="28"/>
        </w:rPr>
        <w:t>As of April 1, 2013, TDCC provides the securities abandonment service for securities without stock affairs units. Investors can apply for a transfer with the participant using a post office's legal attest letter, application form, and relevant documents. The participant then submits the information from the investor to TDCC for review. After the review is passed, the securities will be allocated into the "balance handling account of the delisted securities from issuing institution." The aforementioned documents shall be kept by TDCC, and the issuer will be notified once the responsible stock affairs unit is clarified.</w:t>
      </w:r>
    </w:p>
    <w:p w:rsidR="003F2D45" w:rsidRPr="000E7FF3" w:rsidRDefault="003F2D45" w:rsidP="003F2D45">
      <w:pPr>
        <w:widowControl/>
        <w:shd w:val="clear" w:color="auto" w:fill="FFFFFF"/>
        <w:spacing w:before="100" w:beforeAutospacing="1" w:after="100" w:afterAutospacing="1"/>
        <w:outlineLvl w:val="1"/>
        <w:rPr>
          <w:rFonts w:ascii="微軟正黑體" w:eastAsia="微軟正黑體" w:hAnsi="微軟正黑體" w:cs="Helvetica"/>
          <w:b/>
          <w:bCs/>
          <w:color w:val="000000"/>
          <w:kern w:val="0"/>
          <w:sz w:val="44"/>
          <w:szCs w:val="44"/>
        </w:rPr>
      </w:pPr>
      <w:r w:rsidRPr="000E7FF3">
        <w:rPr>
          <w:rFonts w:ascii="微軟正黑體" w:eastAsia="微軟正黑體" w:hAnsi="微軟正黑體" w:cs="Helvetica"/>
          <w:b/>
          <w:bCs/>
          <w:color w:val="000000"/>
          <w:kern w:val="0"/>
          <w:sz w:val="44"/>
          <w:szCs w:val="44"/>
        </w:rPr>
        <w:t>References</w:t>
      </w:r>
    </w:p>
    <w:p w:rsidR="003F2D45" w:rsidRPr="000E7FF3" w:rsidRDefault="003F2D45" w:rsidP="003F2D45">
      <w:pPr>
        <w:widowControl/>
        <w:shd w:val="clear" w:color="auto" w:fill="FFFFFF"/>
        <w:spacing w:before="240" w:after="240"/>
        <w:jc w:val="both"/>
        <w:rPr>
          <w:rFonts w:ascii="微軟正黑體" w:eastAsia="微軟正黑體" w:hAnsi="微軟正黑體" w:cs="Helvetica"/>
          <w:color w:val="000000"/>
          <w:kern w:val="0"/>
          <w:sz w:val="28"/>
          <w:szCs w:val="28"/>
        </w:rPr>
      </w:pPr>
      <w:r w:rsidRPr="000E7FF3">
        <w:rPr>
          <w:rFonts w:ascii="微軟正黑體" w:eastAsia="微軟正黑體" w:hAnsi="微軟正黑體" w:cs="Helvetica"/>
          <w:color w:val="000000"/>
          <w:kern w:val="0"/>
          <w:sz w:val="28"/>
          <w:szCs w:val="28"/>
        </w:rPr>
        <w:t>In accordance with the section describing how shareholders abandon shares recorded on January 7, 2013, Letter No. Shang-Tze-10102446370 of the Ministry of Economic Affairs:</w:t>
      </w:r>
    </w:p>
    <w:p w:rsidR="003F2D45" w:rsidRPr="000E7FF3" w:rsidRDefault="003F2D45" w:rsidP="003F2D45">
      <w:pPr>
        <w:widowControl/>
        <w:shd w:val="clear" w:color="auto" w:fill="FFFFFF"/>
        <w:spacing w:before="240" w:after="240"/>
        <w:jc w:val="both"/>
        <w:rPr>
          <w:rFonts w:ascii="微軟正黑體" w:eastAsia="微軟正黑體" w:hAnsi="微軟正黑體" w:cs="Helvetica"/>
          <w:color w:val="000000"/>
          <w:kern w:val="0"/>
          <w:sz w:val="28"/>
          <w:szCs w:val="28"/>
        </w:rPr>
      </w:pPr>
      <w:r w:rsidRPr="000E7FF3">
        <w:rPr>
          <w:rFonts w:ascii="微軟正黑體" w:eastAsia="微軟正黑體" w:hAnsi="微軟正黑體" w:cs="Helvetica"/>
          <w:color w:val="000000"/>
          <w:kern w:val="0"/>
          <w:sz w:val="28"/>
          <w:szCs w:val="28"/>
        </w:rPr>
        <w:t>It is a unilateral act for shareholders to abandon the shares they hold, requiring no counterparty's consent. However, as the abandonment of shares involves changes in the register of shareholders, the Company must be notified. In accordance with Article 95 of the Civil Code, an expression of intent inter absents becomes effective at the moment when the notification of the expression reaches such other party. When the investor's expression of intent to abandon the shares reaches the issuer's registered address, the intent of abandoning the shares has become effective, and it has nothing to do with whether there is any recipient in the company or whether the letter is returned. TDCC's letter on June 27, 2012, Shang-Tze-No. 10100597360 was supplemented.</w:t>
      </w:r>
    </w:p>
    <w:p w:rsidR="003F2D45" w:rsidRPr="000E7FF3" w:rsidRDefault="003F2D45" w:rsidP="003F2D45">
      <w:pPr>
        <w:widowControl/>
        <w:shd w:val="clear" w:color="auto" w:fill="FFFFFF"/>
        <w:spacing w:before="240"/>
        <w:jc w:val="both"/>
        <w:rPr>
          <w:rFonts w:ascii="微軟正黑體" w:eastAsia="微軟正黑體" w:hAnsi="微軟正黑體" w:cs="Helvetica"/>
          <w:color w:val="000000"/>
          <w:kern w:val="0"/>
          <w:sz w:val="28"/>
          <w:szCs w:val="28"/>
        </w:rPr>
      </w:pPr>
      <w:r w:rsidRPr="000E7FF3">
        <w:rPr>
          <w:rFonts w:ascii="微軟正黑體" w:eastAsia="微軟正黑體" w:hAnsi="微軟正黑體" w:cs="Helvetica"/>
          <w:color w:val="000000"/>
          <w:kern w:val="0"/>
          <w:sz w:val="28"/>
          <w:szCs w:val="28"/>
        </w:rPr>
        <w:t>In addition, to facilitate shareholders abandoning shares, the shareholders may use the post office's legal attest letter to notify the issuer of the abandonment of shares to handle the abandonment of the share</w:t>
      </w:r>
      <w:bookmarkStart w:id="0" w:name="_GoBack"/>
      <w:bookmarkEnd w:id="0"/>
      <w:r w:rsidRPr="000E7FF3">
        <w:rPr>
          <w:rFonts w:ascii="微軟正黑體" w:eastAsia="微軟正黑體" w:hAnsi="微軟正黑體" w:cs="Helvetica"/>
          <w:color w:val="000000"/>
          <w:kern w:val="0"/>
          <w:sz w:val="28"/>
          <w:szCs w:val="28"/>
        </w:rPr>
        <w:t>s in the depository account.</w:t>
      </w:r>
    </w:p>
    <w:sectPr w:rsidR="003F2D45" w:rsidRPr="000E7FF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FF3" w:rsidRDefault="000E7FF3" w:rsidP="000E7FF3">
      <w:r>
        <w:separator/>
      </w:r>
    </w:p>
  </w:endnote>
  <w:endnote w:type="continuationSeparator" w:id="0">
    <w:p w:rsidR="000E7FF3" w:rsidRDefault="000E7FF3" w:rsidP="000E7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FF3" w:rsidRDefault="000E7FF3" w:rsidP="000E7FF3">
      <w:r>
        <w:separator/>
      </w:r>
    </w:p>
  </w:footnote>
  <w:footnote w:type="continuationSeparator" w:id="0">
    <w:p w:rsidR="000E7FF3" w:rsidRDefault="000E7FF3" w:rsidP="000E7F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D45"/>
    <w:rsid w:val="000E7FF3"/>
    <w:rsid w:val="003F2D45"/>
    <w:rsid w:val="008F55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D281A9-90E1-4369-800E-DACCB435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9"/>
    <w:qFormat/>
    <w:rsid w:val="003F2D45"/>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3F2D45"/>
    <w:rPr>
      <w:rFonts w:ascii="新細明體" w:eastAsia="新細明體" w:hAnsi="新細明體" w:cs="新細明體"/>
      <w:b/>
      <w:bCs/>
      <w:kern w:val="0"/>
      <w:sz w:val="36"/>
      <w:szCs w:val="36"/>
    </w:rPr>
  </w:style>
  <w:style w:type="paragraph" w:styleId="Web">
    <w:name w:val="Normal (Web)"/>
    <w:basedOn w:val="a"/>
    <w:uiPriority w:val="99"/>
    <w:semiHidden/>
    <w:unhideWhenUsed/>
    <w:rsid w:val="003F2D45"/>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0E7FF3"/>
    <w:pPr>
      <w:tabs>
        <w:tab w:val="center" w:pos="4153"/>
        <w:tab w:val="right" w:pos="8306"/>
      </w:tabs>
      <w:snapToGrid w:val="0"/>
    </w:pPr>
    <w:rPr>
      <w:sz w:val="20"/>
      <w:szCs w:val="20"/>
    </w:rPr>
  </w:style>
  <w:style w:type="character" w:customStyle="1" w:styleId="a4">
    <w:name w:val="頁首 字元"/>
    <w:basedOn w:val="a0"/>
    <w:link w:val="a3"/>
    <w:uiPriority w:val="99"/>
    <w:rsid w:val="000E7FF3"/>
    <w:rPr>
      <w:sz w:val="20"/>
      <w:szCs w:val="20"/>
    </w:rPr>
  </w:style>
  <w:style w:type="paragraph" w:styleId="a5">
    <w:name w:val="footer"/>
    <w:basedOn w:val="a"/>
    <w:link w:val="a6"/>
    <w:uiPriority w:val="99"/>
    <w:unhideWhenUsed/>
    <w:rsid w:val="000E7FF3"/>
    <w:pPr>
      <w:tabs>
        <w:tab w:val="center" w:pos="4153"/>
        <w:tab w:val="right" w:pos="8306"/>
      </w:tabs>
      <w:snapToGrid w:val="0"/>
    </w:pPr>
    <w:rPr>
      <w:sz w:val="20"/>
      <w:szCs w:val="20"/>
    </w:rPr>
  </w:style>
  <w:style w:type="character" w:customStyle="1" w:styleId="a6">
    <w:name w:val="頁尾 字元"/>
    <w:basedOn w:val="a0"/>
    <w:link w:val="a5"/>
    <w:uiPriority w:val="99"/>
    <w:rsid w:val="000E7FF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794125">
      <w:bodyDiv w:val="1"/>
      <w:marLeft w:val="0"/>
      <w:marRight w:val="0"/>
      <w:marTop w:val="0"/>
      <w:marBottom w:val="0"/>
      <w:divBdr>
        <w:top w:val="none" w:sz="0" w:space="0" w:color="auto"/>
        <w:left w:val="none" w:sz="0" w:space="0" w:color="auto"/>
        <w:bottom w:val="none" w:sz="0" w:space="0" w:color="auto"/>
        <w:right w:val="none" w:sz="0" w:space="0" w:color="auto"/>
      </w:divBdr>
    </w:div>
    <w:div w:id="148689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315</Words>
  <Characters>1800</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林佳薇</dc:creator>
  <cp:keywords/>
  <dc:description/>
  <cp:lastModifiedBy>呂俊寬</cp:lastModifiedBy>
  <cp:revision>2</cp:revision>
  <dcterms:created xsi:type="dcterms:W3CDTF">2023-03-22T06:59:00Z</dcterms:created>
  <dcterms:modified xsi:type="dcterms:W3CDTF">2023-04-19T08:19:00Z</dcterms:modified>
</cp:coreProperties>
</file>