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5B" w:rsidRPr="00166D7F" w:rsidRDefault="006A015B" w:rsidP="006A015B">
      <w:pPr>
        <w:pStyle w:val="2"/>
        <w:shd w:val="clear" w:color="auto" w:fill="F8F8F8"/>
        <w:spacing w:before="240" w:beforeAutospacing="0" w:after="240" w:afterAutospacing="0" w:line="288" w:lineRule="atLeast"/>
        <w:rPr>
          <w:rFonts w:ascii="微軟正黑體" w:eastAsia="微軟正黑體" w:hAnsi="微軟正黑體" w:cs="Helvetica"/>
          <w:b w:val="0"/>
          <w:bCs w:val="0"/>
          <w:color w:val="000000"/>
          <w:sz w:val="54"/>
          <w:szCs w:val="54"/>
        </w:rPr>
      </w:pPr>
      <w:r w:rsidRPr="00166D7F">
        <w:rPr>
          <w:rFonts w:ascii="微軟正黑體" w:eastAsia="微軟正黑體" w:hAnsi="微軟正黑體" w:cs="Helvetica"/>
          <w:b w:val="0"/>
          <w:bCs w:val="0"/>
          <w:color w:val="000000"/>
          <w:sz w:val="54"/>
          <w:szCs w:val="54"/>
        </w:rPr>
        <w:t>Call (Put) Warrants</w:t>
      </w:r>
      <w:bookmarkStart w:id="0" w:name="_GoBack"/>
      <w:bookmarkEnd w:id="0"/>
    </w:p>
    <w:p w:rsidR="006A015B" w:rsidRPr="00166D7F" w:rsidRDefault="006A015B" w:rsidP="006A015B">
      <w:pPr>
        <w:pStyle w:val="Web"/>
        <w:shd w:val="clear" w:color="auto" w:fill="F8F8F8"/>
        <w:spacing w:line="360" w:lineRule="atLeast"/>
        <w:rPr>
          <w:rFonts w:ascii="微軟正黑體" w:eastAsia="微軟正黑體" w:hAnsi="微軟正黑體" w:cs="Helvetica"/>
          <w:color w:val="000000"/>
          <w:sz w:val="27"/>
          <w:szCs w:val="27"/>
        </w:rPr>
      </w:pPr>
      <w:r w:rsidRPr="00166D7F">
        <w:rPr>
          <w:rFonts w:ascii="微軟正黑體" w:eastAsia="微軟正黑體" w:hAnsi="微軟正黑體" w:cs="Helvetica"/>
          <w:color w:val="000000"/>
          <w:sz w:val="27"/>
          <w:szCs w:val="27"/>
        </w:rPr>
        <w:t>In June 1997, TWSE promulgated "Taiwan Stock Exchange Corporation Rules Governing Trading of Call (Put) Warrants." In the same year, the Company planed book-entry operations regarding trading and exercise of call (put) warrants in cooperation with TWSE.</w:t>
      </w:r>
    </w:p>
    <w:p w:rsidR="006A015B" w:rsidRPr="00166D7F" w:rsidRDefault="006A015B" w:rsidP="009C0A4A">
      <w:pPr>
        <w:pStyle w:val="Web"/>
        <w:shd w:val="clear" w:color="auto" w:fill="FFFFFF"/>
        <w:spacing w:before="0" w:beforeAutospacing="0" w:after="240" w:afterAutospacing="0"/>
        <w:jc w:val="both"/>
        <w:rPr>
          <w:rFonts w:ascii="微軟正黑體" w:eastAsia="微軟正黑體" w:hAnsi="微軟正黑體" w:cs="Helvetica"/>
          <w:color w:val="000000"/>
        </w:rPr>
      </w:pPr>
    </w:p>
    <w:p w:rsidR="009C0A4A" w:rsidRPr="00166D7F" w:rsidRDefault="009C0A4A" w:rsidP="009C0A4A">
      <w:pPr>
        <w:pStyle w:val="Web"/>
        <w:shd w:val="clear" w:color="auto" w:fill="FFFFFF"/>
        <w:spacing w:before="0" w:beforeAutospacing="0" w:after="240" w:afterAutospacing="0"/>
        <w:jc w:val="both"/>
        <w:rPr>
          <w:rFonts w:ascii="微軟正黑體" w:eastAsia="微軟正黑體" w:hAnsi="微軟正黑體" w:cs="Helvetica"/>
          <w:color w:val="000000"/>
        </w:rPr>
      </w:pPr>
      <w:r w:rsidRPr="00166D7F">
        <w:rPr>
          <w:rFonts w:ascii="微軟正黑體" w:eastAsia="微軟正黑體" w:hAnsi="微軟正黑體" w:cs="Helvetica"/>
          <w:color w:val="000000"/>
        </w:rPr>
        <w:t>Derivatives are an indispensable and important tools for the securities market. With the progress of financial liberalization and internationalization in Taiwan, when the securities market has reached a certain degree of maturity, the introduction of derivatives has become an inevitable trend. In June 1997, TWSE promulgated "Taiwan Stock Exchange Corporation Rules Governing Trading of Call (Put) Warrants." In the same year, the Company planed book-entry operations regarding trading and exercise of call (put) warrants in cooperation with TWSE. Also, to meet the needs of the issuer's of automatic warrants exercise, resale on the due day, and compensation delivery for the matured warrants, offering the issuer and investors to complete the listing, allotment, exercise, and automatic exercise on the due day or the resale of call (put) warrants.</w:t>
      </w:r>
    </w:p>
    <w:p w:rsidR="009C0A4A" w:rsidRPr="00166D7F" w:rsidRDefault="009C0A4A" w:rsidP="009C0A4A">
      <w:pPr>
        <w:pStyle w:val="2"/>
        <w:shd w:val="clear" w:color="auto" w:fill="FFFFFF"/>
        <w:rPr>
          <w:rFonts w:ascii="微軟正黑體" w:eastAsia="微軟正黑體" w:hAnsi="微軟正黑體" w:cs="Helvetica"/>
          <w:color w:val="000000"/>
        </w:rPr>
      </w:pPr>
      <w:r w:rsidRPr="00166D7F">
        <w:rPr>
          <w:rFonts w:ascii="微軟正黑體" w:eastAsia="微軟正黑體" w:hAnsi="微軟正黑體" w:cs="Helvetica"/>
          <w:color w:val="000000"/>
        </w:rPr>
        <w:t>Book-entry and Allotment of Listing Call (Put) Warrants</w:t>
      </w:r>
    </w:p>
    <w:p w:rsidR="009C0A4A" w:rsidRPr="00166D7F" w:rsidRDefault="009C0A4A" w:rsidP="009C0A4A">
      <w:pPr>
        <w:pStyle w:val="Web"/>
        <w:shd w:val="clear" w:color="auto" w:fill="FFFFFF"/>
        <w:spacing w:before="240" w:beforeAutospacing="0" w:after="240" w:afterAutospacing="0"/>
        <w:jc w:val="both"/>
        <w:rPr>
          <w:rFonts w:ascii="微軟正黑體" w:eastAsia="微軟正黑體" w:hAnsi="微軟正黑體" w:cs="Helvetica"/>
          <w:color w:val="000000"/>
        </w:rPr>
      </w:pPr>
      <w:r w:rsidRPr="00166D7F">
        <w:rPr>
          <w:rFonts w:ascii="微軟正黑體" w:eastAsia="微軟正黑體" w:hAnsi="微軟正黑體" w:cs="Helvetica"/>
          <w:color w:val="000000"/>
        </w:rPr>
        <w:t>The issuer prepares the register information of the holders of the call (put) warrants and relevant documents and follows the procedures for the book-entry and allotment of the securities to transfer the call (put) warrants to the holder's depository and clearing account.</w:t>
      </w:r>
    </w:p>
    <w:p w:rsidR="009C0A4A" w:rsidRPr="00166D7F" w:rsidRDefault="009C0A4A" w:rsidP="009C0A4A">
      <w:pPr>
        <w:pStyle w:val="2"/>
        <w:shd w:val="clear" w:color="auto" w:fill="FFFFFF"/>
        <w:rPr>
          <w:rFonts w:ascii="微軟正黑體" w:eastAsia="微軟正黑體" w:hAnsi="微軟正黑體" w:cs="Helvetica"/>
          <w:color w:val="000000"/>
        </w:rPr>
      </w:pPr>
      <w:r w:rsidRPr="00166D7F">
        <w:rPr>
          <w:rFonts w:ascii="微軟正黑體" w:eastAsia="微軟正黑體" w:hAnsi="微軟正黑體" w:cs="Helvetica"/>
          <w:color w:val="000000"/>
        </w:rPr>
        <w:t>Holders' Application for Exercise of Call (Put) Warrants</w:t>
      </w:r>
    </w:p>
    <w:p w:rsidR="009C0A4A" w:rsidRPr="00166D7F" w:rsidRDefault="009C0A4A" w:rsidP="009C0A4A">
      <w:pPr>
        <w:pStyle w:val="Web"/>
        <w:shd w:val="clear" w:color="auto" w:fill="FFFFFF"/>
        <w:spacing w:before="240" w:beforeAutospacing="0" w:after="240" w:afterAutospacing="0"/>
        <w:jc w:val="both"/>
        <w:rPr>
          <w:rFonts w:ascii="微軟正黑體" w:eastAsia="微軟正黑體" w:hAnsi="微軟正黑體" w:cs="Helvetica"/>
          <w:color w:val="000000"/>
        </w:rPr>
      </w:pPr>
      <w:r w:rsidRPr="00166D7F">
        <w:rPr>
          <w:rFonts w:ascii="微軟正黑體" w:eastAsia="微軟正黑體" w:hAnsi="微軟正黑體" w:cs="Helvetica"/>
          <w:color w:val="000000"/>
        </w:rPr>
        <w:lastRenderedPageBreak/>
        <w:t>Call (put) warrants holders complete relevant documents and apply to their participants for exercise call(put) warrants.</w:t>
      </w:r>
    </w:p>
    <w:p w:rsidR="009C0A4A" w:rsidRPr="00166D7F" w:rsidRDefault="009C0A4A" w:rsidP="009C0A4A">
      <w:pPr>
        <w:pStyle w:val="2"/>
        <w:shd w:val="clear" w:color="auto" w:fill="FFFFFF"/>
        <w:rPr>
          <w:rFonts w:ascii="微軟正黑體" w:eastAsia="微軟正黑體" w:hAnsi="微軟正黑體" w:cs="Helvetica"/>
          <w:color w:val="000000"/>
        </w:rPr>
      </w:pPr>
      <w:r w:rsidRPr="00166D7F">
        <w:rPr>
          <w:rFonts w:ascii="微軟正黑體" w:eastAsia="微軟正黑體" w:hAnsi="微軟正黑體" w:cs="Helvetica"/>
          <w:color w:val="000000"/>
        </w:rPr>
        <w:t>Issuers' Application for Cancellation of Call (Put) Warrants</w:t>
      </w:r>
    </w:p>
    <w:p w:rsidR="009C0A4A" w:rsidRPr="00166D7F" w:rsidRDefault="009C0A4A" w:rsidP="009C0A4A">
      <w:pPr>
        <w:pStyle w:val="Web"/>
        <w:shd w:val="clear" w:color="auto" w:fill="FFFFFF"/>
        <w:spacing w:before="240" w:beforeAutospacing="0" w:after="240" w:afterAutospacing="0"/>
        <w:jc w:val="both"/>
        <w:rPr>
          <w:rFonts w:ascii="微軟正黑體" w:eastAsia="微軟正黑體" w:hAnsi="微軟正黑體" w:cs="Helvetica"/>
          <w:color w:val="000000"/>
        </w:rPr>
      </w:pPr>
      <w:r w:rsidRPr="00166D7F">
        <w:rPr>
          <w:rFonts w:ascii="微軟正黑體" w:eastAsia="微軟正黑體" w:hAnsi="微軟正黑體" w:cs="Helvetica"/>
          <w:color w:val="000000"/>
        </w:rPr>
        <w:t>Call (put) warrants issuers complete relevant documents and apply to their participants for cancellation.</w:t>
      </w:r>
    </w:p>
    <w:p w:rsidR="009C0A4A" w:rsidRPr="00166D7F" w:rsidRDefault="009C0A4A" w:rsidP="009C0A4A">
      <w:pPr>
        <w:pStyle w:val="2"/>
        <w:shd w:val="clear" w:color="auto" w:fill="FFFFFF"/>
        <w:rPr>
          <w:rFonts w:ascii="微軟正黑體" w:eastAsia="微軟正黑體" w:hAnsi="微軟正黑體" w:cs="Helvetica"/>
          <w:color w:val="000000"/>
        </w:rPr>
      </w:pPr>
      <w:r w:rsidRPr="00166D7F">
        <w:rPr>
          <w:rFonts w:ascii="微軟正黑體" w:eastAsia="微軟正黑體" w:hAnsi="微軟正黑體" w:cs="Helvetica"/>
          <w:color w:val="000000"/>
        </w:rPr>
        <w:t>Automatic Performance or Resale of Call (Put) Warrants</w:t>
      </w:r>
    </w:p>
    <w:p w:rsidR="009C0A4A" w:rsidRPr="00166D7F" w:rsidRDefault="009C0A4A" w:rsidP="009C0A4A">
      <w:pPr>
        <w:pStyle w:val="Web"/>
        <w:shd w:val="clear" w:color="auto" w:fill="FFFFFF"/>
        <w:spacing w:before="240" w:beforeAutospacing="0" w:after="240" w:afterAutospacing="0"/>
        <w:jc w:val="both"/>
        <w:rPr>
          <w:rFonts w:ascii="微軟正黑體" w:eastAsia="微軟正黑體" w:hAnsi="微軟正黑體" w:cs="Helvetica"/>
          <w:color w:val="000000"/>
        </w:rPr>
      </w:pPr>
      <w:r w:rsidRPr="00166D7F">
        <w:rPr>
          <w:rFonts w:ascii="微軟正黑體" w:eastAsia="微軟正黑體" w:hAnsi="微軟正黑體" w:cs="Helvetica"/>
          <w:color w:val="000000"/>
        </w:rPr>
        <w:t>When the call (put) warrants expire, TDCC will automatically resell the balance on the holder's account. In the case of cash settlement, the Company will calculate whether are in-the-money and provide participants with settlement-related information for participants with value.</w:t>
      </w:r>
    </w:p>
    <w:p w:rsidR="009C0A4A" w:rsidRPr="00166D7F" w:rsidRDefault="009C0A4A" w:rsidP="009C0A4A">
      <w:pPr>
        <w:pStyle w:val="Web"/>
        <w:shd w:val="clear" w:color="auto" w:fill="FFFFFF"/>
        <w:spacing w:before="240" w:beforeAutospacing="0" w:after="0" w:afterAutospacing="0"/>
        <w:jc w:val="both"/>
        <w:rPr>
          <w:rFonts w:ascii="微軟正黑體" w:eastAsia="微軟正黑體" w:hAnsi="微軟正黑體" w:cs="Helvetica"/>
          <w:color w:val="000000"/>
        </w:rPr>
      </w:pPr>
      <w:r w:rsidRPr="00166D7F">
        <w:rPr>
          <w:rFonts w:ascii="微軟正黑體" w:eastAsia="微軟正黑體" w:hAnsi="微軟正黑體" w:cs="Helvetica"/>
          <w:color w:val="000000"/>
        </w:rPr>
        <w:t>For detailed operation procedures, please refer to "Taiwan Depository &amp; Clearing Corporation Directions for the Handling by Participants of Book-Entry Operations for Call (Put) Warrants" on the official website of the Taiwan Depository &amp; Clearing Corporation, under the Regulations-Securities category.</w:t>
      </w:r>
    </w:p>
    <w:p w:rsidR="00FD169E" w:rsidRPr="00166D7F" w:rsidRDefault="00FD169E" w:rsidP="009C0A4A">
      <w:pPr>
        <w:rPr>
          <w:rFonts w:ascii="微軟正黑體" w:eastAsia="微軟正黑體" w:hAnsi="微軟正黑體"/>
        </w:rPr>
      </w:pPr>
    </w:p>
    <w:sectPr w:rsidR="00FD169E" w:rsidRPr="00166D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AE" w:rsidRDefault="008A01AE" w:rsidP="008A01AE">
      <w:r>
        <w:separator/>
      </w:r>
    </w:p>
  </w:endnote>
  <w:endnote w:type="continuationSeparator" w:id="0">
    <w:p w:rsidR="008A01AE" w:rsidRDefault="008A01AE" w:rsidP="008A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AE" w:rsidRDefault="008A01AE" w:rsidP="008A01AE">
      <w:r>
        <w:separator/>
      </w:r>
    </w:p>
  </w:footnote>
  <w:footnote w:type="continuationSeparator" w:id="0">
    <w:p w:rsidR="008A01AE" w:rsidRDefault="008A01AE" w:rsidP="008A0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539FC"/>
    <w:multiLevelType w:val="multilevel"/>
    <w:tmpl w:val="6B5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246C3"/>
    <w:multiLevelType w:val="multilevel"/>
    <w:tmpl w:val="BF18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56195"/>
    <w:multiLevelType w:val="multilevel"/>
    <w:tmpl w:val="AB8C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BE"/>
    <w:rsid w:val="000721BE"/>
    <w:rsid w:val="00166D7F"/>
    <w:rsid w:val="006A015B"/>
    <w:rsid w:val="008A01AE"/>
    <w:rsid w:val="009C0A4A"/>
    <w:rsid w:val="00FD1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DC09C33-D45E-47CC-8100-C6F04FFC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8A01A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1AE"/>
    <w:pPr>
      <w:tabs>
        <w:tab w:val="center" w:pos="4153"/>
        <w:tab w:val="right" w:pos="8306"/>
      </w:tabs>
      <w:snapToGrid w:val="0"/>
    </w:pPr>
    <w:rPr>
      <w:sz w:val="20"/>
      <w:szCs w:val="20"/>
    </w:rPr>
  </w:style>
  <w:style w:type="character" w:customStyle="1" w:styleId="a4">
    <w:name w:val="頁首 字元"/>
    <w:basedOn w:val="a0"/>
    <w:link w:val="a3"/>
    <w:uiPriority w:val="99"/>
    <w:rsid w:val="008A01AE"/>
    <w:rPr>
      <w:sz w:val="20"/>
      <w:szCs w:val="20"/>
    </w:rPr>
  </w:style>
  <w:style w:type="paragraph" w:styleId="a5">
    <w:name w:val="footer"/>
    <w:basedOn w:val="a"/>
    <w:link w:val="a6"/>
    <w:uiPriority w:val="99"/>
    <w:unhideWhenUsed/>
    <w:rsid w:val="008A01AE"/>
    <w:pPr>
      <w:tabs>
        <w:tab w:val="center" w:pos="4153"/>
        <w:tab w:val="right" w:pos="8306"/>
      </w:tabs>
      <w:snapToGrid w:val="0"/>
    </w:pPr>
    <w:rPr>
      <w:sz w:val="20"/>
      <w:szCs w:val="20"/>
    </w:rPr>
  </w:style>
  <w:style w:type="character" w:customStyle="1" w:styleId="a6">
    <w:name w:val="頁尾 字元"/>
    <w:basedOn w:val="a0"/>
    <w:link w:val="a5"/>
    <w:uiPriority w:val="99"/>
    <w:rsid w:val="008A01AE"/>
    <w:rPr>
      <w:sz w:val="20"/>
      <w:szCs w:val="20"/>
    </w:rPr>
  </w:style>
  <w:style w:type="character" w:customStyle="1" w:styleId="20">
    <w:name w:val="標題 2 字元"/>
    <w:basedOn w:val="a0"/>
    <w:link w:val="2"/>
    <w:uiPriority w:val="9"/>
    <w:rsid w:val="008A01AE"/>
    <w:rPr>
      <w:rFonts w:ascii="新細明體" w:eastAsia="新細明體" w:hAnsi="新細明體" w:cs="新細明體"/>
      <w:b/>
      <w:bCs/>
      <w:kern w:val="0"/>
      <w:sz w:val="36"/>
      <w:szCs w:val="36"/>
    </w:rPr>
  </w:style>
  <w:style w:type="character" w:styleId="a7">
    <w:name w:val="Hyperlink"/>
    <w:basedOn w:val="a0"/>
    <w:uiPriority w:val="99"/>
    <w:semiHidden/>
    <w:unhideWhenUsed/>
    <w:rsid w:val="008A01AE"/>
    <w:rPr>
      <w:color w:val="0000FF"/>
      <w:u w:val="single"/>
    </w:rPr>
  </w:style>
  <w:style w:type="paragraph" w:styleId="Web">
    <w:name w:val="Normal (Web)"/>
    <w:basedOn w:val="a"/>
    <w:uiPriority w:val="99"/>
    <w:semiHidden/>
    <w:unhideWhenUsed/>
    <w:rsid w:val="008A01A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505883">
      <w:bodyDiv w:val="1"/>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sChild>
            <w:div w:id="902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6686">
      <w:bodyDiv w:val="1"/>
      <w:marLeft w:val="0"/>
      <w:marRight w:val="0"/>
      <w:marTop w:val="0"/>
      <w:marBottom w:val="0"/>
      <w:divBdr>
        <w:top w:val="none" w:sz="0" w:space="0" w:color="auto"/>
        <w:left w:val="none" w:sz="0" w:space="0" w:color="auto"/>
        <w:bottom w:val="none" w:sz="0" w:space="0" w:color="auto"/>
        <w:right w:val="none" w:sz="0" w:space="0" w:color="auto"/>
      </w:divBdr>
    </w:div>
    <w:div w:id="19168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林素貞</dc:creator>
  <cp:keywords/>
  <dc:description/>
  <cp:lastModifiedBy>呂俊寬</cp:lastModifiedBy>
  <cp:revision>5</cp:revision>
  <dcterms:created xsi:type="dcterms:W3CDTF">2023-03-23T02:15:00Z</dcterms:created>
  <dcterms:modified xsi:type="dcterms:W3CDTF">2023-04-19T09:59:00Z</dcterms:modified>
</cp:coreProperties>
</file>