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F2" w:rsidRPr="00655B76" w:rsidRDefault="00F425F2" w:rsidP="00F425F2">
      <w:pPr>
        <w:widowControl/>
        <w:shd w:val="clear" w:color="auto" w:fill="F8F8F8"/>
        <w:spacing w:before="240" w:after="240" w:line="288" w:lineRule="atLeast"/>
        <w:outlineLvl w:val="1"/>
        <w:rPr>
          <w:rFonts w:ascii="微軟正黑體" w:eastAsia="微軟正黑體" w:hAnsi="微軟正黑體" w:cs="Helvetica"/>
          <w:b/>
          <w:color w:val="000000"/>
          <w:kern w:val="0"/>
          <w:sz w:val="44"/>
          <w:szCs w:val="44"/>
        </w:rPr>
      </w:pPr>
      <w:r w:rsidRPr="00655B76">
        <w:rPr>
          <w:rFonts w:ascii="微軟正黑體" w:eastAsia="微軟正黑體" w:hAnsi="微軟正黑體" w:cs="Helvetica"/>
          <w:b/>
          <w:color w:val="000000"/>
          <w:kern w:val="0"/>
          <w:sz w:val="44"/>
          <w:szCs w:val="44"/>
        </w:rPr>
        <w:t>公開收購</w:t>
      </w:r>
    </w:p>
    <w:p w:rsidR="00F425F2" w:rsidRPr="00655B76" w:rsidRDefault="00F425F2" w:rsidP="00F425F2">
      <w:pPr>
        <w:widowControl/>
        <w:shd w:val="clear" w:color="auto" w:fill="F8F8F8"/>
        <w:spacing w:before="100" w:beforeAutospacing="1" w:after="100" w:afterAutospacing="1" w:line="360" w:lineRule="atLeast"/>
        <w:rPr>
          <w:rFonts w:ascii="微軟正黑體" w:eastAsia="微軟正黑體" w:hAnsi="微軟正黑體" w:cs="Helvetica"/>
          <w:color w:val="000000"/>
          <w:kern w:val="0"/>
          <w:sz w:val="28"/>
          <w:szCs w:val="28"/>
        </w:rPr>
      </w:pPr>
      <w:r w:rsidRPr="00655B76">
        <w:rPr>
          <w:rFonts w:ascii="微軟正黑體" w:eastAsia="微軟正黑體" w:hAnsi="微軟正黑體" w:cs="Helvetica"/>
          <w:color w:val="000000"/>
          <w:kern w:val="0"/>
          <w:sz w:val="28"/>
          <w:szCs w:val="28"/>
        </w:rPr>
        <w:t>有鑑於為市場投資人提供一公開透明之公開收購管道，並解決應賣人為參與公開收購而領回現股之作業負擔，本公司於2002年2月提供公開收購有價證券帳簿劃撥作業</w:t>
      </w:r>
    </w:p>
    <w:p w:rsidR="00F425F2" w:rsidRPr="00655B76" w:rsidRDefault="00F425F2" w:rsidP="00F425F2">
      <w:pPr>
        <w:widowControl/>
        <w:shd w:val="clear" w:color="auto" w:fill="FFFFFF"/>
        <w:spacing w:after="240"/>
        <w:jc w:val="both"/>
        <w:rPr>
          <w:rFonts w:ascii="微軟正黑體" w:eastAsia="微軟正黑體" w:hAnsi="微軟正黑體" w:cs="Helvetica"/>
          <w:color w:val="000000"/>
          <w:kern w:val="0"/>
          <w:sz w:val="28"/>
          <w:szCs w:val="28"/>
        </w:rPr>
      </w:pPr>
      <w:r w:rsidRPr="00655B76">
        <w:rPr>
          <w:rFonts w:ascii="微軟正黑體" w:eastAsia="微軟正黑體" w:hAnsi="微軟正黑體" w:cs="Helvetica"/>
          <w:color w:val="000000"/>
          <w:kern w:val="0"/>
          <w:sz w:val="28"/>
          <w:szCs w:val="28"/>
        </w:rPr>
        <w:t>有關公開收購制度早於1988年證券交易法修正時，即已參照美國法案增訂第43條之1規定，嗣後於1995年主管機關始依證券交易法之規定訂定「公開收購公開發行公司有價證券管理辦法」，使公開收購在國內有了明確的法源依據。然而2001年以前鮮有利用公開收購管道取得他公司股份之案例，其主要原因包括取得他公司股份者可能基於某特定目的和偏好、或有私下協議等其他更好更便利之取得管道，而使得該制度無法充分發揮。</w:t>
      </w:r>
    </w:p>
    <w:p w:rsidR="00F425F2" w:rsidRPr="00655B76" w:rsidRDefault="00F425F2" w:rsidP="00F425F2">
      <w:pPr>
        <w:widowControl/>
        <w:shd w:val="clear" w:color="auto" w:fill="FFFFFF"/>
        <w:spacing w:before="240" w:after="240"/>
        <w:jc w:val="both"/>
        <w:rPr>
          <w:rFonts w:ascii="微軟正黑體" w:eastAsia="微軟正黑體" w:hAnsi="微軟正黑體" w:cs="Helvetica"/>
          <w:color w:val="000000"/>
          <w:kern w:val="0"/>
          <w:sz w:val="28"/>
          <w:szCs w:val="28"/>
        </w:rPr>
      </w:pPr>
      <w:r w:rsidRPr="00655B76">
        <w:rPr>
          <w:rFonts w:ascii="微軟正黑體" w:eastAsia="微軟正黑體" w:hAnsi="微軟正黑體" w:cs="Helvetica"/>
          <w:color w:val="000000"/>
          <w:kern w:val="0"/>
          <w:sz w:val="28"/>
          <w:szCs w:val="28"/>
        </w:rPr>
        <w:t>有鑑於為市場投資人提供一公開透明之公開收購管道，並解決應賣人為參與公開收購而領回現股之作業負擔，本公司於2002年2月修訂業務操作辦法，提供公開收購有價證券帳簿劃撥作業，應賣人可將欲參與收購之有價證券撥入受委任機構之公開收購專戶，再由受委任機構將有價證券自公開收購專戶撥入公開收購人保管劃撥帳戶，完成收購作業程序。</w:t>
      </w:r>
    </w:p>
    <w:p w:rsidR="00F425F2" w:rsidRPr="00655B76" w:rsidRDefault="00F425F2" w:rsidP="00F425F2">
      <w:pPr>
        <w:widowControl/>
        <w:shd w:val="clear" w:color="auto" w:fill="FFFFFF"/>
        <w:spacing w:before="100" w:beforeAutospacing="1" w:after="100" w:afterAutospacing="1"/>
        <w:outlineLvl w:val="1"/>
        <w:rPr>
          <w:rFonts w:ascii="微軟正黑體" w:eastAsia="微軟正黑體" w:hAnsi="微軟正黑體" w:cs="Helvetica"/>
          <w:b/>
          <w:bCs/>
          <w:color w:val="000000"/>
          <w:kern w:val="0"/>
          <w:sz w:val="44"/>
          <w:szCs w:val="44"/>
        </w:rPr>
      </w:pPr>
      <w:r w:rsidRPr="00655B76">
        <w:rPr>
          <w:rFonts w:ascii="微軟正黑體" w:eastAsia="微軟正黑體" w:hAnsi="微軟正黑體" w:cs="Helvetica"/>
          <w:b/>
          <w:bCs/>
          <w:color w:val="000000"/>
          <w:kern w:val="0"/>
          <w:sz w:val="44"/>
          <w:szCs w:val="44"/>
        </w:rPr>
        <w:t>公開收購交存作業</w:t>
      </w:r>
    </w:p>
    <w:p w:rsidR="00F425F2" w:rsidRPr="00655B76" w:rsidRDefault="00F425F2" w:rsidP="00F425F2">
      <w:pPr>
        <w:widowControl/>
        <w:shd w:val="clear" w:color="auto" w:fill="FFFFFF"/>
        <w:spacing w:before="240" w:after="240"/>
        <w:jc w:val="both"/>
        <w:rPr>
          <w:rFonts w:ascii="微軟正黑體" w:eastAsia="微軟正黑體" w:hAnsi="微軟正黑體" w:cs="Helvetica"/>
          <w:color w:val="000000"/>
          <w:kern w:val="0"/>
          <w:sz w:val="28"/>
          <w:szCs w:val="28"/>
        </w:rPr>
      </w:pPr>
      <w:r w:rsidRPr="00655B76">
        <w:rPr>
          <w:rFonts w:ascii="微軟正黑體" w:eastAsia="微軟正黑體" w:hAnsi="微軟正黑體" w:cs="Helvetica"/>
          <w:color w:val="000000"/>
          <w:kern w:val="0"/>
          <w:sz w:val="28"/>
          <w:szCs w:val="28"/>
        </w:rPr>
        <w:t>應賣人持證券存摺及原留印鑑並填具申請書，向往來證券商或保管銀行辦理公開收購交存作業。</w:t>
      </w:r>
    </w:p>
    <w:p w:rsidR="00F425F2" w:rsidRPr="00655B76" w:rsidRDefault="00F425F2" w:rsidP="00F425F2">
      <w:pPr>
        <w:widowControl/>
        <w:shd w:val="clear" w:color="auto" w:fill="FFFFFF"/>
        <w:spacing w:before="100" w:beforeAutospacing="1" w:after="100" w:afterAutospacing="1"/>
        <w:outlineLvl w:val="1"/>
        <w:rPr>
          <w:rFonts w:ascii="微軟正黑體" w:eastAsia="微軟正黑體" w:hAnsi="微軟正黑體" w:cs="Helvetica"/>
          <w:b/>
          <w:bCs/>
          <w:color w:val="000000"/>
          <w:kern w:val="0"/>
          <w:sz w:val="44"/>
          <w:szCs w:val="44"/>
        </w:rPr>
      </w:pPr>
      <w:r w:rsidRPr="00655B76">
        <w:rPr>
          <w:rFonts w:ascii="微軟正黑體" w:eastAsia="微軟正黑體" w:hAnsi="微軟正黑體" w:cs="Helvetica"/>
          <w:b/>
          <w:bCs/>
          <w:color w:val="000000"/>
          <w:kern w:val="0"/>
          <w:sz w:val="44"/>
          <w:szCs w:val="44"/>
        </w:rPr>
        <w:t>電子申請公開收購作業</w:t>
      </w:r>
    </w:p>
    <w:p w:rsidR="00F425F2" w:rsidRPr="00655B76" w:rsidRDefault="00F425F2" w:rsidP="00F425F2">
      <w:pPr>
        <w:widowControl/>
        <w:shd w:val="clear" w:color="auto" w:fill="FFFFFF"/>
        <w:spacing w:before="240" w:after="240"/>
        <w:jc w:val="both"/>
        <w:rPr>
          <w:rFonts w:ascii="微軟正黑體" w:eastAsia="微軟正黑體" w:hAnsi="微軟正黑體" w:cs="Helvetica"/>
          <w:color w:val="000000"/>
          <w:kern w:val="0"/>
          <w:sz w:val="28"/>
          <w:szCs w:val="28"/>
        </w:rPr>
      </w:pPr>
      <w:r w:rsidRPr="00655B76">
        <w:rPr>
          <w:rFonts w:ascii="微軟正黑體" w:eastAsia="微軟正黑體" w:hAnsi="微軟正黑體" w:cs="Helvetica"/>
          <w:color w:val="000000"/>
          <w:kern w:val="0"/>
          <w:sz w:val="28"/>
          <w:szCs w:val="28"/>
        </w:rPr>
        <w:t>元富證券、新光證券、國泰證券、華南永昌證券及永豐金證券已提供投資人透過電子化方式申請公開收購作業。</w:t>
      </w:r>
    </w:p>
    <w:p w:rsidR="00F425F2" w:rsidRPr="00655B76" w:rsidRDefault="00F425F2" w:rsidP="00F425F2">
      <w:pPr>
        <w:widowControl/>
        <w:shd w:val="clear" w:color="auto" w:fill="FFFFFF"/>
        <w:spacing w:before="240" w:after="240"/>
        <w:jc w:val="both"/>
        <w:rPr>
          <w:rFonts w:ascii="微軟正黑體" w:eastAsia="微軟正黑體" w:hAnsi="微軟正黑體" w:cs="Helvetica"/>
          <w:color w:val="000000"/>
          <w:kern w:val="0"/>
          <w:sz w:val="28"/>
          <w:szCs w:val="28"/>
        </w:rPr>
      </w:pPr>
      <w:bookmarkStart w:id="0" w:name="_GoBack"/>
      <w:bookmarkEnd w:id="0"/>
    </w:p>
    <w:p w:rsidR="00F425F2" w:rsidRPr="00655B76" w:rsidRDefault="00F425F2" w:rsidP="00F425F2">
      <w:pPr>
        <w:widowControl/>
        <w:shd w:val="clear" w:color="auto" w:fill="FFFFFF"/>
        <w:spacing w:before="240" w:after="240"/>
        <w:jc w:val="both"/>
        <w:rPr>
          <w:rFonts w:ascii="微軟正黑體" w:eastAsia="微軟正黑體" w:hAnsi="微軟正黑體" w:cs="Helvetica"/>
          <w:color w:val="000000"/>
          <w:kern w:val="0"/>
          <w:sz w:val="28"/>
          <w:szCs w:val="28"/>
        </w:rPr>
      </w:pPr>
      <w:r w:rsidRPr="00655B76">
        <w:rPr>
          <w:rFonts w:ascii="微軟正黑體" w:eastAsia="微軟正黑體" w:hAnsi="微軟正黑體" w:cs="Helvetica"/>
          <w:color w:val="000000"/>
          <w:kern w:val="0"/>
          <w:sz w:val="28"/>
          <w:szCs w:val="28"/>
        </w:rPr>
        <w:t>詳細作業程序請參閱：本網站/法令規章下之</w:t>
      </w:r>
    </w:p>
    <w:p w:rsidR="00F425F2" w:rsidRPr="00655B76" w:rsidRDefault="00655B76" w:rsidP="00F425F2">
      <w:pPr>
        <w:widowControl/>
        <w:shd w:val="clear" w:color="auto" w:fill="FFFFFF"/>
        <w:spacing w:before="240"/>
        <w:jc w:val="both"/>
        <w:rPr>
          <w:rFonts w:ascii="微軟正黑體" w:eastAsia="微軟正黑體" w:hAnsi="微軟正黑體" w:cs="Helvetica"/>
          <w:color w:val="000000"/>
          <w:kern w:val="0"/>
          <w:sz w:val="28"/>
          <w:szCs w:val="28"/>
        </w:rPr>
      </w:pPr>
      <w:hyperlink r:id="rId7" w:tooltip="前往臺灣集中保管結算所股份有限公司參加人辦理收購有價證券帳簿劃撥作業配合事項網站" w:history="1">
        <w:r w:rsidR="00F425F2" w:rsidRPr="00655B76">
          <w:rPr>
            <w:rFonts w:ascii="微軟正黑體" w:eastAsia="微軟正黑體" w:hAnsi="微軟正黑體" w:cs="Helvetica"/>
            <w:color w:val="0000FF"/>
            <w:kern w:val="0"/>
            <w:sz w:val="28"/>
            <w:szCs w:val="28"/>
            <w:u w:val="single"/>
          </w:rPr>
          <w:t>「臺灣集中保管結算所股份有限公司參加人辦理收購有價證券帳簿劃撥作業配合事項」</w:t>
        </w:r>
      </w:hyperlink>
    </w:p>
    <w:p w:rsidR="00166CFB" w:rsidRPr="00655B76" w:rsidRDefault="00655B76">
      <w:pPr>
        <w:rPr>
          <w:rFonts w:ascii="微軟正黑體" w:eastAsia="微軟正黑體" w:hAnsi="微軟正黑體"/>
          <w:sz w:val="28"/>
          <w:szCs w:val="28"/>
        </w:rPr>
      </w:pPr>
    </w:p>
    <w:sectPr w:rsidR="00166CFB" w:rsidRPr="00655B7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B39" w:rsidRDefault="00ED4B39" w:rsidP="00F425F2">
      <w:r>
        <w:separator/>
      </w:r>
    </w:p>
  </w:endnote>
  <w:endnote w:type="continuationSeparator" w:id="0">
    <w:p w:rsidR="00ED4B39" w:rsidRDefault="00ED4B39" w:rsidP="00F4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B39" w:rsidRDefault="00ED4B39" w:rsidP="00F425F2">
      <w:r>
        <w:separator/>
      </w:r>
    </w:p>
  </w:footnote>
  <w:footnote w:type="continuationSeparator" w:id="0">
    <w:p w:rsidR="00ED4B39" w:rsidRDefault="00ED4B39" w:rsidP="00F42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00CA3"/>
    <w:multiLevelType w:val="multilevel"/>
    <w:tmpl w:val="EBDE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BF"/>
    <w:rsid w:val="00252B10"/>
    <w:rsid w:val="003B442A"/>
    <w:rsid w:val="00655B76"/>
    <w:rsid w:val="007F4C9C"/>
    <w:rsid w:val="008007B3"/>
    <w:rsid w:val="008D2C60"/>
    <w:rsid w:val="009056BF"/>
    <w:rsid w:val="00AC6CD6"/>
    <w:rsid w:val="00E90BF0"/>
    <w:rsid w:val="00ED4B39"/>
    <w:rsid w:val="00F425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80876C5-4E59-4CF6-A8D7-2B6F2240E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link w:val="20"/>
    <w:uiPriority w:val="9"/>
    <w:semiHidden/>
    <w:unhideWhenUsed/>
    <w:qFormat/>
    <w:rsid w:val="003B442A"/>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basedOn w:val="a"/>
    <w:qFormat/>
    <w:rsid w:val="007F4C9C"/>
    <w:pPr>
      <w:spacing w:beforeLines="50" w:before="50" w:afterLines="50" w:after="50" w:line="480" w:lineRule="exact"/>
      <w:ind w:firstLineChars="200" w:firstLine="200"/>
      <w:jc w:val="both"/>
    </w:pPr>
    <w:rPr>
      <w:rFonts w:eastAsia="標楷體"/>
    </w:rPr>
  </w:style>
  <w:style w:type="paragraph" w:customStyle="1" w:styleId="a3">
    <w:name w:val="中標"/>
    <w:basedOn w:val="2"/>
    <w:next w:val="a"/>
    <w:qFormat/>
    <w:rsid w:val="003B442A"/>
    <w:pPr>
      <w:spacing w:beforeLines="50" w:before="50" w:afterLines="50" w:after="50"/>
    </w:pPr>
    <w:rPr>
      <w:rFonts w:eastAsia="標楷體"/>
      <w:sz w:val="28"/>
    </w:rPr>
  </w:style>
  <w:style w:type="character" w:customStyle="1" w:styleId="20">
    <w:name w:val="標題 2 字元"/>
    <w:basedOn w:val="a0"/>
    <w:link w:val="2"/>
    <w:uiPriority w:val="9"/>
    <w:semiHidden/>
    <w:rsid w:val="003B442A"/>
    <w:rPr>
      <w:rFonts w:asciiTheme="majorHAnsi" w:eastAsiaTheme="majorEastAsia" w:hAnsiTheme="majorHAnsi" w:cstheme="majorBidi"/>
      <w:b/>
      <w:bCs/>
      <w:sz w:val="48"/>
      <w:szCs w:val="48"/>
    </w:rPr>
  </w:style>
  <w:style w:type="paragraph" w:styleId="a4">
    <w:name w:val="header"/>
    <w:basedOn w:val="a"/>
    <w:link w:val="a5"/>
    <w:uiPriority w:val="99"/>
    <w:unhideWhenUsed/>
    <w:rsid w:val="00F425F2"/>
    <w:pPr>
      <w:tabs>
        <w:tab w:val="center" w:pos="4153"/>
        <w:tab w:val="right" w:pos="8306"/>
      </w:tabs>
      <w:snapToGrid w:val="0"/>
    </w:pPr>
    <w:rPr>
      <w:sz w:val="20"/>
      <w:szCs w:val="20"/>
    </w:rPr>
  </w:style>
  <w:style w:type="character" w:customStyle="1" w:styleId="a5">
    <w:name w:val="頁首 字元"/>
    <w:basedOn w:val="a0"/>
    <w:link w:val="a4"/>
    <w:uiPriority w:val="99"/>
    <w:rsid w:val="00F425F2"/>
    <w:rPr>
      <w:sz w:val="20"/>
      <w:szCs w:val="20"/>
    </w:rPr>
  </w:style>
  <w:style w:type="paragraph" w:styleId="a6">
    <w:name w:val="footer"/>
    <w:basedOn w:val="a"/>
    <w:link w:val="a7"/>
    <w:uiPriority w:val="99"/>
    <w:unhideWhenUsed/>
    <w:rsid w:val="00F425F2"/>
    <w:pPr>
      <w:tabs>
        <w:tab w:val="center" w:pos="4153"/>
        <w:tab w:val="right" w:pos="8306"/>
      </w:tabs>
      <w:snapToGrid w:val="0"/>
    </w:pPr>
    <w:rPr>
      <w:sz w:val="20"/>
      <w:szCs w:val="20"/>
    </w:rPr>
  </w:style>
  <w:style w:type="character" w:customStyle="1" w:styleId="a7">
    <w:name w:val="頁尾 字元"/>
    <w:basedOn w:val="a0"/>
    <w:link w:val="a6"/>
    <w:uiPriority w:val="99"/>
    <w:rsid w:val="00F425F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34058">
      <w:bodyDiv w:val="1"/>
      <w:marLeft w:val="0"/>
      <w:marRight w:val="0"/>
      <w:marTop w:val="0"/>
      <w:marBottom w:val="0"/>
      <w:divBdr>
        <w:top w:val="none" w:sz="0" w:space="0" w:color="auto"/>
        <w:left w:val="none" w:sz="0" w:space="0" w:color="auto"/>
        <w:bottom w:val="none" w:sz="0" w:space="0" w:color="auto"/>
        <w:right w:val="none" w:sz="0" w:space="0" w:color="auto"/>
      </w:divBdr>
    </w:div>
    <w:div w:id="123087263">
      <w:bodyDiv w:val="1"/>
      <w:marLeft w:val="0"/>
      <w:marRight w:val="0"/>
      <w:marTop w:val="0"/>
      <w:marBottom w:val="0"/>
      <w:divBdr>
        <w:top w:val="none" w:sz="0" w:space="0" w:color="auto"/>
        <w:left w:val="none" w:sz="0" w:space="0" w:color="auto"/>
        <w:bottom w:val="none" w:sz="0" w:space="0" w:color="auto"/>
        <w:right w:val="none" w:sz="0" w:space="0" w:color="auto"/>
      </w:divBdr>
    </w:div>
    <w:div w:id="26065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law.com.tw/LawArticle.aspx?LawID=G01012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莊佩芬</dc:creator>
  <cp:keywords/>
  <dc:description/>
  <cp:lastModifiedBy>呂俊寬</cp:lastModifiedBy>
  <cp:revision>4</cp:revision>
  <dcterms:created xsi:type="dcterms:W3CDTF">2023-03-21T05:55:00Z</dcterms:created>
  <dcterms:modified xsi:type="dcterms:W3CDTF">2023-04-20T00:41:00Z</dcterms:modified>
</cp:coreProperties>
</file>