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442" w:rsidRPr="00061F83" w:rsidRDefault="00AE5B67" w:rsidP="00EF4D46">
      <w:pPr>
        <w:spacing w:line="480" w:lineRule="exact"/>
        <w:jc w:val="both"/>
        <w:rPr>
          <w:rFonts w:ascii="微軟正黑體" w:eastAsia="微軟正黑體" w:hAnsi="微軟正黑體"/>
          <w:b/>
          <w:sz w:val="44"/>
          <w:szCs w:val="44"/>
        </w:rPr>
      </w:pPr>
      <w:r w:rsidRPr="00061F83">
        <w:rPr>
          <w:rFonts w:ascii="微軟正黑體" w:eastAsia="微軟正黑體" w:hAnsi="微軟正黑體" w:hint="eastAsia"/>
          <w:b/>
          <w:sz w:val="44"/>
          <w:szCs w:val="44"/>
        </w:rPr>
        <w:t>信託</w:t>
      </w:r>
    </w:p>
    <w:p w:rsidR="00EF4D46" w:rsidRPr="00061F83" w:rsidRDefault="00AE5B67" w:rsidP="00EF4D46">
      <w:pPr>
        <w:spacing w:line="480" w:lineRule="exact"/>
        <w:jc w:val="both"/>
        <w:rPr>
          <w:rFonts w:ascii="微軟正黑體" w:eastAsia="微軟正黑體" w:hAnsi="微軟正黑體"/>
          <w:sz w:val="28"/>
          <w:szCs w:val="28"/>
        </w:rPr>
      </w:pPr>
      <w:r w:rsidRPr="00061F83">
        <w:rPr>
          <w:rFonts w:ascii="微軟正黑體" w:eastAsia="微軟正黑體" w:hAnsi="微軟正黑體"/>
          <w:sz w:val="28"/>
          <w:szCs w:val="28"/>
        </w:rPr>
        <w:t>自2004年起，因應客戶以集中保管有價證券辦理信託之需求，提供受託人開設信託保管劃撥帳戶、委託人以集中保管之有價證券辦理信託、信託利益分配或信託關係消滅辦理信託有價證券轉帳及信託有價證券配發等帳簿劃撥作業。</w:t>
      </w:r>
    </w:p>
    <w:p w:rsidR="00AE5B67" w:rsidRPr="00061F83" w:rsidRDefault="00AE5B67" w:rsidP="00EF4D46">
      <w:pPr>
        <w:spacing w:line="480" w:lineRule="exact"/>
        <w:jc w:val="both"/>
        <w:rPr>
          <w:rFonts w:ascii="微軟正黑體" w:eastAsia="微軟正黑體" w:hAnsi="微軟正黑體"/>
          <w:sz w:val="28"/>
          <w:szCs w:val="28"/>
        </w:rPr>
      </w:pPr>
    </w:p>
    <w:p w:rsidR="00AE5B67" w:rsidRPr="00061F83" w:rsidRDefault="00AE5B67" w:rsidP="00EF4D46">
      <w:pPr>
        <w:spacing w:line="480" w:lineRule="exact"/>
        <w:jc w:val="both"/>
        <w:rPr>
          <w:rFonts w:ascii="微軟正黑體" w:eastAsia="微軟正黑體" w:hAnsi="微軟正黑體"/>
          <w:sz w:val="28"/>
          <w:szCs w:val="28"/>
        </w:rPr>
      </w:pPr>
      <w:r w:rsidRPr="00061F83">
        <w:rPr>
          <w:rFonts w:ascii="微軟正黑體" w:eastAsia="微軟正黑體" w:hAnsi="微軟正黑體"/>
          <w:sz w:val="28"/>
          <w:szCs w:val="28"/>
        </w:rPr>
        <w:t>信託法自1996年公告實施後，本公司即著手規劃信託帳簿劃撥作業運作之基本架構，時至2000年間信託業法及其相關稅制公告後，相關信託法制始臻完備，本公司即多次邀集主管機關、股務協會及信託公會等研商提供信託保管劃撥帳戶開設、信託有價證券送存、信託成立、消滅、利差分配等相關轉帳作業，以滿足集中保管客戶辦理信託及受託人管理信託財產之帳戶需求，並自2004年1月9日起開始實施。</w:t>
      </w:r>
    </w:p>
    <w:p w:rsidR="00AE5B67" w:rsidRPr="00061F83" w:rsidRDefault="00AE5B67" w:rsidP="00AE5B67">
      <w:pPr>
        <w:spacing w:line="480" w:lineRule="exact"/>
        <w:jc w:val="both"/>
        <w:rPr>
          <w:rFonts w:ascii="微軟正黑體" w:eastAsia="微軟正黑體" w:hAnsi="微軟正黑體"/>
          <w:sz w:val="28"/>
          <w:szCs w:val="28"/>
        </w:rPr>
      </w:pPr>
    </w:p>
    <w:p w:rsidR="00AE5B67" w:rsidRPr="00061F83" w:rsidRDefault="00AE5B67" w:rsidP="00AE5B67">
      <w:pPr>
        <w:pStyle w:val="2"/>
        <w:shd w:val="clear" w:color="auto" w:fill="FFFFFF"/>
        <w:spacing w:line="480" w:lineRule="exact"/>
        <w:jc w:val="both"/>
        <w:rPr>
          <w:rFonts w:ascii="微軟正黑體" w:eastAsia="微軟正黑體" w:hAnsi="微軟正黑體" w:cs="Helvetica"/>
          <w:color w:val="000000"/>
          <w:sz w:val="44"/>
          <w:szCs w:val="44"/>
        </w:rPr>
      </w:pPr>
      <w:r w:rsidRPr="00061F83">
        <w:rPr>
          <w:rFonts w:ascii="微軟正黑體" w:eastAsia="微軟正黑體" w:hAnsi="微軟正黑體" w:cs="Helvetica"/>
          <w:color w:val="000000"/>
          <w:sz w:val="44"/>
          <w:szCs w:val="44"/>
        </w:rPr>
        <w:t>業務介紹</w:t>
      </w:r>
    </w:p>
    <w:p w:rsidR="00AE5B67" w:rsidRPr="00061F83" w:rsidRDefault="00AE5B67" w:rsidP="00AE5B67">
      <w:pPr>
        <w:pStyle w:val="Web"/>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信託：謂委託人將財產權移轉或為其他處分，使受託人依信託本旨，為受益人之利益或為特定之目的，管理或處分信託財產之關係。(信託法第1條)</w:t>
      </w:r>
    </w:p>
    <w:p w:rsidR="00AE5B67" w:rsidRPr="00061F83" w:rsidRDefault="00AE5B67" w:rsidP="00AE5B67">
      <w:pPr>
        <w:pStyle w:val="Web"/>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p>
    <w:p w:rsidR="00AE5B67" w:rsidRPr="00061F83" w:rsidRDefault="00AE5B67" w:rsidP="00AE5B67">
      <w:pPr>
        <w:pStyle w:val="2"/>
        <w:shd w:val="clear" w:color="auto" w:fill="FFFFFF"/>
        <w:spacing w:line="480" w:lineRule="exact"/>
        <w:jc w:val="both"/>
        <w:rPr>
          <w:rFonts w:ascii="微軟正黑體" w:eastAsia="微軟正黑體" w:hAnsi="微軟正黑體" w:cs="Helvetica"/>
          <w:color w:val="000000"/>
          <w:sz w:val="44"/>
          <w:szCs w:val="44"/>
        </w:rPr>
      </w:pPr>
      <w:r w:rsidRPr="00061F83">
        <w:rPr>
          <w:rFonts w:ascii="微軟正黑體" w:eastAsia="微軟正黑體" w:hAnsi="微軟正黑體" w:cs="Helvetica"/>
          <w:color w:val="000000"/>
          <w:sz w:val="44"/>
          <w:szCs w:val="44"/>
        </w:rPr>
        <w:t>作業原則</w:t>
      </w:r>
    </w:p>
    <w:p w:rsidR="00AE5B67" w:rsidRPr="00061F83" w:rsidRDefault="00AE5B67" w:rsidP="00AE5B67">
      <w:pPr>
        <w:pStyle w:val="Web"/>
        <w:numPr>
          <w:ilvl w:val="0"/>
          <w:numId w:val="4"/>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受託人為信託業者，可至往來證券商依契約別、遺囑別、公益信託別或業務別開立信託專戶或綜合信託專戶，或成為本公司參加人依前述方式開設專戶。</w:t>
      </w:r>
    </w:p>
    <w:p w:rsidR="00AE5B67" w:rsidRPr="00061F83" w:rsidRDefault="00AE5B67" w:rsidP="00AE5B67">
      <w:pPr>
        <w:pStyle w:val="Web"/>
        <w:numPr>
          <w:ilvl w:val="0"/>
          <w:numId w:val="4"/>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受託人為非信託業者，可至往來證券商依契約別、遺囑別或公益信託別開立信託專戶。</w:t>
      </w:r>
    </w:p>
    <w:p w:rsidR="00AE5B67" w:rsidRPr="00061F83" w:rsidRDefault="00AE5B67" w:rsidP="00AE5B67">
      <w:pPr>
        <w:pStyle w:val="2"/>
        <w:shd w:val="clear" w:color="auto" w:fill="FFFFFF"/>
        <w:spacing w:line="480" w:lineRule="exact"/>
        <w:jc w:val="both"/>
        <w:rPr>
          <w:rFonts w:ascii="微軟正黑體" w:eastAsia="微軟正黑體" w:hAnsi="微軟正黑體" w:cs="Helvetica"/>
          <w:color w:val="000000"/>
          <w:sz w:val="44"/>
          <w:szCs w:val="44"/>
        </w:rPr>
      </w:pPr>
      <w:r w:rsidRPr="00061F83">
        <w:rPr>
          <w:rFonts w:ascii="微軟正黑體" w:eastAsia="微軟正黑體" w:hAnsi="微軟正黑體" w:cs="Helvetica"/>
          <w:color w:val="000000"/>
          <w:sz w:val="44"/>
          <w:szCs w:val="44"/>
        </w:rPr>
        <w:lastRenderedPageBreak/>
        <w:t>開戶方式</w:t>
      </w:r>
    </w:p>
    <w:p w:rsidR="00AE5B67" w:rsidRPr="00061F83" w:rsidRDefault="00AE5B67" w:rsidP="00AE5B67">
      <w:pPr>
        <w:pStyle w:val="Web"/>
        <w:numPr>
          <w:ilvl w:val="0"/>
          <w:numId w:val="5"/>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受託人於證券商處依契約別、遺囑別或公益信託別開設信託保管劃撥帳戶(信託專戶)。</w:t>
      </w:r>
    </w:p>
    <w:p w:rsidR="00AE5B67" w:rsidRPr="00061F83" w:rsidRDefault="00AE5B67" w:rsidP="00AE5B67">
      <w:pPr>
        <w:pStyle w:val="Web"/>
        <w:numPr>
          <w:ilvl w:val="0"/>
          <w:numId w:val="5"/>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受託人為信託業於證券商處依業務別開設綜合信託專戶。</w:t>
      </w:r>
    </w:p>
    <w:p w:rsidR="00AE5B67" w:rsidRPr="00061F83" w:rsidRDefault="00AE5B67" w:rsidP="00AE5B67">
      <w:pPr>
        <w:pStyle w:val="Web"/>
        <w:numPr>
          <w:ilvl w:val="0"/>
          <w:numId w:val="5"/>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受託人為信託業向本公司申請開設保管劃撥帳戶成為參加人</w:t>
      </w:r>
    </w:p>
    <w:p w:rsidR="00AE5B67" w:rsidRPr="00061F83" w:rsidRDefault="00AE5B67" w:rsidP="00AE5B67">
      <w:pPr>
        <w:pStyle w:val="Web"/>
        <w:numPr>
          <w:ilvl w:val="0"/>
          <w:numId w:val="5"/>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受託人有二人以上時，應另檢具同意書委由一人代表辦理開戶及相關權利之行使。</w:t>
      </w:r>
    </w:p>
    <w:p w:rsidR="00AE5B67" w:rsidRPr="00061F83" w:rsidRDefault="00AE5B67" w:rsidP="00AE5B67">
      <w:pPr>
        <w:pStyle w:val="Web"/>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p>
    <w:p w:rsidR="00AE5B67" w:rsidRPr="00061F83" w:rsidRDefault="00AE5B67" w:rsidP="00AE5B67">
      <w:pPr>
        <w:pStyle w:val="2"/>
        <w:shd w:val="clear" w:color="auto" w:fill="FFFFFF"/>
        <w:spacing w:line="480" w:lineRule="exact"/>
        <w:jc w:val="both"/>
        <w:rPr>
          <w:rFonts w:ascii="微軟正黑體" w:eastAsia="微軟正黑體" w:hAnsi="微軟正黑體" w:cs="Helvetica"/>
          <w:color w:val="000000"/>
          <w:sz w:val="44"/>
          <w:szCs w:val="44"/>
        </w:rPr>
      </w:pPr>
      <w:r w:rsidRPr="00061F83">
        <w:rPr>
          <w:rFonts w:ascii="微軟正黑體" w:eastAsia="微軟正黑體" w:hAnsi="微軟正黑體" w:cs="Helvetica"/>
          <w:color w:val="000000"/>
          <w:sz w:val="44"/>
          <w:szCs w:val="44"/>
        </w:rPr>
        <w:t>信託轉帳</w:t>
      </w:r>
    </w:p>
    <w:p w:rsidR="00AE5B67" w:rsidRPr="00061F83" w:rsidRDefault="00AE5B67" w:rsidP="00AE5B67">
      <w:pPr>
        <w:pStyle w:val="Web"/>
        <w:numPr>
          <w:ilvl w:val="0"/>
          <w:numId w:val="6"/>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交付信託之轉帳作業。</w:t>
      </w:r>
    </w:p>
    <w:p w:rsidR="00AE5B67" w:rsidRPr="00061F83" w:rsidRDefault="00AE5B67" w:rsidP="00AE5B67">
      <w:pPr>
        <w:pStyle w:val="Web"/>
        <w:numPr>
          <w:ilvl w:val="0"/>
          <w:numId w:val="6"/>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受託人變更之轉帳作業。</w:t>
      </w:r>
    </w:p>
    <w:p w:rsidR="00AE5B67" w:rsidRPr="00061F83" w:rsidRDefault="00AE5B67" w:rsidP="00AE5B67">
      <w:pPr>
        <w:pStyle w:val="Web"/>
        <w:numPr>
          <w:ilvl w:val="0"/>
          <w:numId w:val="6"/>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信託利益分配或信託關係終止之轉帳作業。</w:t>
      </w:r>
    </w:p>
    <w:p w:rsidR="00AE5B67" w:rsidRPr="00061F83" w:rsidRDefault="00AE5B67" w:rsidP="00AE5B67">
      <w:pPr>
        <w:pStyle w:val="Web"/>
        <w:numPr>
          <w:ilvl w:val="0"/>
          <w:numId w:val="6"/>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信託關係不存在、無效、解除或撤銷之轉帳作業。</w:t>
      </w:r>
    </w:p>
    <w:p w:rsidR="00AE5B67" w:rsidRPr="00061F83" w:rsidRDefault="00AE5B67" w:rsidP="00AE5B67">
      <w:pPr>
        <w:pStyle w:val="Web"/>
        <w:numPr>
          <w:ilvl w:val="0"/>
          <w:numId w:val="6"/>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受託人因其他原因辦理其與非受益人或非委託人之第三人間有價證券之轉帳作業。</w:t>
      </w:r>
    </w:p>
    <w:p w:rsidR="00AE5B67" w:rsidRPr="00061F83" w:rsidRDefault="00AE5B67" w:rsidP="00AE5B67">
      <w:pPr>
        <w:pStyle w:val="Web"/>
        <w:numPr>
          <w:ilvl w:val="0"/>
          <w:numId w:val="6"/>
        </w:numPr>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061F83">
        <w:rPr>
          <w:rFonts w:ascii="微軟正黑體" w:eastAsia="微軟正黑體" w:hAnsi="微軟正黑體" w:cs="Helvetica"/>
          <w:color w:val="000000"/>
          <w:sz w:val="28"/>
          <w:szCs w:val="28"/>
        </w:rPr>
        <w:t>受託人因發行人依發行辦法收回／收買限制員工權利新股辦理其與發行人間有價證券之轉帳作業。</w:t>
      </w:r>
    </w:p>
    <w:p w:rsidR="003C14F0" w:rsidRPr="002B0DE9" w:rsidRDefault="00AE5B67" w:rsidP="00AE5B67">
      <w:pPr>
        <w:pStyle w:val="Web"/>
        <w:numPr>
          <w:ilvl w:val="0"/>
          <w:numId w:val="6"/>
        </w:numPr>
        <w:shd w:val="clear" w:color="auto" w:fill="FFFFFF"/>
        <w:spacing w:before="240" w:beforeAutospacing="0" w:after="240" w:afterAutospacing="0" w:line="480" w:lineRule="exact"/>
        <w:jc w:val="both"/>
        <w:rPr>
          <w:rFonts w:ascii="微軟正黑體" w:eastAsia="微軟正黑體" w:hAnsi="微軟正黑體" w:cs="Helvetica" w:hint="eastAsia"/>
          <w:color w:val="000000"/>
          <w:sz w:val="28"/>
          <w:szCs w:val="28"/>
        </w:rPr>
      </w:pPr>
      <w:r w:rsidRPr="00061F83">
        <w:rPr>
          <w:rFonts w:ascii="微軟正黑體" w:eastAsia="微軟正黑體" w:hAnsi="微軟正黑體" w:cs="Helvetica"/>
          <w:color w:val="000000"/>
          <w:sz w:val="28"/>
          <w:szCs w:val="28"/>
        </w:rPr>
        <w:t>受託人辦理其信託專戶或綜合信託專戶間有價證券之轉帳作業。</w:t>
      </w:r>
      <w:bookmarkStart w:id="0" w:name="_GoBack"/>
      <w:bookmarkEnd w:id="0"/>
    </w:p>
    <w:sectPr w:rsidR="003C14F0" w:rsidRPr="002B0DE9" w:rsidSect="00D63DA2">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ED8" w:rsidRDefault="00FA0ED8" w:rsidP="00AE5B67">
      <w:r>
        <w:separator/>
      </w:r>
    </w:p>
  </w:endnote>
  <w:endnote w:type="continuationSeparator" w:id="0">
    <w:p w:rsidR="00FA0ED8" w:rsidRDefault="00FA0ED8" w:rsidP="00AE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ED8" w:rsidRDefault="00FA0ED8" w:rsidP="00AE5B67">
      <w:r>
        <w:separator/>
      </w:r>
    </w:p>
  </w:footnote>
  <w:footnote w:type="continuationSeparator" w:id="0">
    <w:p w:rsidR="00FA0ED8" w:rsidRDefault="00FA0ED8" w:rsidP="00AE5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732B6"/>
    <w:multiLevelType w:val="multilevel"/>
    <w:tmpl w:val="64E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C40B8A"/>
    <w:multiLevelType w:val="hybridMultilevel"/>
    <w:tmpl w:val="B66AA7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8144832"/>
    <w:multiLevelType w:val="hybridMultilevel"/>
    <w:tmpl w:val="F7948E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2AF0E2E"/>
    <w:multiLevelType w:val="multilevel"/>
    <w:tmpl w:val="653C1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B07392"/>
    <w:multiLevelType w:val="multilevel"/>
    <w:tmpl w:val="E26E16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15382E"/>
    <w:multiLevelType w:val="hybridMultilevel"/>
    <w:tmpl w:val="EDDEF0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lvlOverride w:ilvl="0">
      <w:lvl w:ilvl="0">
        <w:numFmt w:val="bullet"/>
        <w:lvlText w:val=""/>
        <w:lvlJc w:val="left"/>
        <w:pPr>
          <w:tabs>
            <w:tab w:val="num" w:pos="720"/>
          </w:tabs>
          <w:ind w:left="720" w:hanging="360"/>
        </w:pPr>
        <w:rPr>
          <w:rFonts w:ascii="Symbol" w:hAnsi="Symbol" w:hint="default"/>
          <w:sz w:val="20"/>
        </w:rPr>
      </w:lvl>
    </w:lvlOverride>
  </w:num>
  <w:num w:numId="2">
    <w:abstractNumId w:val="3"/>
    <w:lvlOverride w:ilvl="0">
      <w:lvl w:ilvl="0">
        <w:numFmt w:val="bullet"/>
        <w:lvlText w:val=""/>
        <w:lvlJc w:val="left"/>
        <w:pPr>
          <w:tabs>
            <w:tab w:val="num" w:pos="720"/>
          </w:tabs>
          <w:ind w:left="720" w:hanging="360"/>
        </w:pPr>
        <w:rPr>
          <w:rFonts w:ascii="Symbol" w:hAnsi="Symbol" w:hint="default"/>
          <w:sz w:val="20"/>
        </w:rPr>
      </w:lvl>
    </w:lvlOverride>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87"/>
    <w:rsid w:val="00061F83"/>
    <w:rsid w:val="00202AA6"/>
    <w:rsid w:val="002B0DE9"/>
    <w:rsid w:val="00374277"/>
    <w:rsid w:val="006E302E"/>
    <w:rsid w:val="00A27D87"/>
    <w:rsid w:val="00AE5B67"/>
    <w:rsid w:val="00BC264E"/>
    <w:rsid w:val="00D63DA2"/>
    <w:rsid w:val="00DF2675"/>
    <w:rsid w:val="00EE3442"/>
    <w:rsid w:val="00EF4D46"/>
    <w:rsid w:val="00FA0E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89C30"/>
  <w15:chartTrackingRefBased/>
  <w15:docId w15:val="{D3EFCF7F-46F0-4A26-B1EC-4D92391C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link w:val="20"/>
    <w:uiPriority w:val="9"/>
    <w:semiHidden/>
    <w:unhideWhenUsed/>
    <w:qFormat/>
    <w:rsid w:val="00EE3442"/>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link w:val="40"/>
    <w:uiPriority w:val="9"/>
    <w:qFormat/>
    <w:rsid w:val="00A27D87"/>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rsid w:val="00A27D87"/>
    <w:rPr>
      <w:rFonts w:ascii="新細明體" w:eastAsia="新細明體" w:hAnsi="新細明體" w:cs="新細明體"/>
      <w:b/>
      <w:bCs/>
      <w:kern w:val="0"/>
      <w:szCs w:val="24"/>
    </w:rPr>
  </w:style>
  <w:style w:type="paragraph" w:styleId="Web">
    <w:name w:val="Normal (Web)"/>
    <w:basedOn w:val="a"/>
    <w:uiPriority w:val="99"/>
    <w:unhideWhenUsed/>
    <w:rsid w:val="00A27D87"/>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A27D87"/>
    <w:rPr>
      <w:b/>
      <w:bCs/>
    </w:rPr>
  </w:style>
  <w:style w:type="character" w:customStyle="1" w:styleId="20">
    <w:name w:val="標題 2 字元"/>
    <w:basedOn w:val="a0"/>
    <w:link w:val="2"/>
    <w:uiPriority w:val="9"/>
    <w:semiHidden/>
    <w:rsid w:val="00EE3442"/>
    <w:rPr>
      <w:rFonts w:asciiTheme="majorHAnsi" w:eastAsiaTheme="majorEastAsia" w:hAnsiTheme="majorHAnsi" w:cstheme="majorBidi"/>
      <w:b/>
      <w:bCs/>
      <w:sz w:val="48"/>
      <w:szCs w:val="48"/>
    </w:rPr>
  </w:style>
  <w:style w:type="character" w:styleId="a4">
    <w:name w:val="Hyperlink"/>
    <w:basedOn w:val="a0"/>
    <w:uiPriority w:val="99"/>
    <w:unhideWhenUsed/>
    <w:rsid w:val="00EE3442"/>
    <w:rPr>
      <w:color w:val="0563C1" w:themeColor="hyperlink"/>
      <w:u w:val="single"/>
    </w:rPr>
  </w:style>
  <w:style w:type="paragraph" w:styleId="a5">
    <w:name w:val="header"/>
    <w:basedOn w:val="a"/>
    <w:link w:val="a6"/>
    <w:uiPriority w:val="99"/>
    <w:unhideWhenUsed/>
    <w:rsid w:val="00AE5B67"/>
    <w:pPr>
      <w:tabs>
        <w:tab w:val="center" w:pos="4153"/>
        <w:tab w:val="right" w:pos="8306"/>
      </w:tabs>
      <w:snapToGrid w:val="0"/>
    </w:pPr>
    <w:rPr>
      <w:sz w:val="20"/>
      <w:szCs w:val="20"/>
    </w:rPr>
  </w:style>
  <w:style w:type="character" w:customStyle="1" w:styleId="a6">
    <w:name w:val="頁首 字元"/>
    <w:basedOn w:val="a0"/>
    <w:link w:val="a5"/>
    <w:uiPriority w:val="99"/>
    <w:rsid w:val="00AE5B67"/>
    <w:rPr>
      <w:sz w:val="20"/>
      <w:szCs w:val="20"/>
    </w:rPr>
  </w:style>
  <w:style w:type="paragraph" w:styleId="a7">
    <w:name w:val="footer"/>
    <w:basedOn w:val="a"/>
    <w:link w:val="a8"/>
    <w:uiPriority w:val="99"/>
    <w:unhideWhenUsed/>
    <w:rsid w:val="00AE5B67"/>
    <w:pPr>
      <w:tabs>
        <w:tab w:val="center" w:pos="4153"/>
        <w:tab w:val="right" w:pos="8306"/>
      </w:tabs>
      <w:snapToGrid w:val="0"/>
    </w:pPr>
    <w:rPr>
      <w:sz w:val="20"/>
      <w:szCs w:val="20"/>
    </w:rPr>
  </w:style>
  <w:style w:type="character" w:customStyle="1" w:styleId="a8">
    <w:name w:val="頁尾 字元"/>
    <w:basedOn w:val="a0"/>
    <w:link w:val="a7"/>
    <w:uiPriority w:val="99"/>
    <w:rsid w:val="00AE5B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537983">
      <w:bodyDiv w:val="1"/>
      <w:marLeft w:val="0"/>
      <w:marRight w:val="0"/>
      <w:marTop w:val="0"/>
      <w:marBottom w:val="0"/>
      <w:divBdr>
        <w:top w:val="none" w:sz="0" w:space="0" w:color="auto"/>
        <w:left w:val="none" w:sz="0" w:space="0" w:color="auto"/>
        <w:bottom w:val="none" w:sz="0" w:space="0" w:color="auto"/>
        <w:right w:val="none" w:sz="0" w:space="0" w:color="auto"/>
      </w:divBdr>
    </w:div>
    <w:div w:id="1398014130">
      <w:bodyDiv w:val="1"/>
      <w:marLeft w:val="0"/>
      <w:marRight w:val="0"/>
      <w:marTop w:val="0"/>
      <w:marBottom w:val="0"/>
      <w:divBdr>
        <w:top w:val="none" w:sz="0" w:space="0" w:color="auto"/>
        <w:left w:val="none" w:sz="0" w:space="0" w:color="auto"/>
        <w:bottom w:val="none" w:sz="0" w:space="0" w:color="auto"/>
        <w:right w:val="none" w:sz="0" w:space="0" w:color="auto"/>
      </w:divBdr>
    </w:div>
    <w:div w:id="1699889138">
      <w:bodyDiv w:val="1"/>
      <w:marLeft w:val="0"/>
      <w:marRight w:val="0"/>
      <w:marTop w:val="0"/>
      <w:marBottom w:val="0"/>
      <w:divBdr>
        <w:top w:val="none" w:sz="0" w:space="0" w:color="auto"/>
        <w:left w:val="none" w:sz="0" w:space="0" w:color="auto"/>
        <w:bottom w:val="none" w:sz="0" w:space="0" w:color="auto"/>
        <w:right w:val="none" w:sz="0" w:space="0" w:color="auto"/>
      </w:divBdr>
    </w:div>
    <w:div w:id="1740782924">
      <w:bodyDiv w:val="1"/>
      <w:marLeft w:val="0"/>
      <w:marRight w:val="0"/>
      <w:marTop w:val="0"/>
      <w:marBottom w:val="0"/>
      <w:divBdr>
        <w:top w:val="none" w:sz="0" w:space="0" w:color="auto"/>
        <w:left w:val="none" w:sz="0" w:space="0" w:color="auto"/>
        <w:bottom w:val="none" w:sz="0" w:space="0" w:color="auto"/>
        <w:right w:val="none" w:sz="0" w:space="0" w:color="auto"/>
      </w:divBdr>
    </w:div>
    <w:div w:id="1746024536">
      <w:bodyDiv w:val="1"/>
      <w:marLeft w:val="0"/>
      <w:marRight w:val="0"/>
      <w:marTop w:val="0"/>
      <w:marBottom w:val="0"/>
      <w:divBdr>
        <w:top w:val="none" w:sz="0" w:space="0" w:color="auto"/>
        <w:left w:val="none" w:sz="0" w:space="0" w:color="auto"/>
        <w:bottom w:val="none" w:sz="0" w:space="0" w:color="auto"/>
        <w:right w:val="none" w:sz="0" w:space="0" w:color="auto"/>
      </w:divBdr>
    </w:div>
    <w:div w:id="18171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尤律鈞</dc:creator>
  <cp:keywords/>
  <dc:description/>
  <cp:lastModifiedBy>呂俊寬</cp:lastModifiedBy>
  <cp:revision>3</cp:revision>
  <dcterms:created xsi:type="dcterms:W3CDTF">2024-08-07T02:17:00Z</dcterms:created>
  <dcterms:modified xsi:type="dcterms:W3CDTF">2024-08-07T02:18:00Z</dcterms:modified>
</cp:coreProperties>
</file>