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F6" w:rsidRPr="005764E8" w:rsidRDefault="005321F6" w:rsidP="005321F6">
      <w:pPr>
        <w:widowControl/>
        <w:shd w:val="clear" w:color="auto" w:fill="F8F8F8"/>
        <w:spacing w:before="240" w:after="240" w:line="288" w:lineRule="atLeast"/>
        <w:outlineLvl w:val="1"/>
        <w:rPr>
          <w:rFonts w:ascii="微軟正黑體" w:eastAsia="微軟正黑體" w:hAnsi="微軟正黑體" w:cs="Helvetica"/>
          <w:color w:val="000000"/>
          <w:kern w:val="0"/>
          <w:sz w:val="52"/>
          <w:szCs w:val="52"/>
        </w:rPr>
      </w:pPr>
      <w:r w:rsidRPr="005764E8">
        <w:rPr>
          <w:rFonts w:ascii="微軟正黑體" w:eastAsia="微軟正黑體" w:hAnsi="微軟正黑體" w:cs="Helvetica"/>
          <w:color w:val="000000"/>
          <w:kern w:val="0"/>
          <w:sz w:val="52"/>
          <w:szCs w:val="52"/>
        </w:rPr>
        <w:t>擔保提存</w:t>
      </w:r>
    </w:p>
    <w:p w:rsidR="005321F6" w:rsidRPr="005764E8" w:rsidRDefault="005321F6" w:rsidP="00B2529C">
      <w:pPr>
        <w:rPr>
          <w:rFonts w:ascii="微軟正黑體" w:eastAsia="微軟正黑體" w:hAnsi="微軟正黑體" w:cs="Helvetica"/>
          <w:color w:val="000000"/>
          <w:sz w:val="28"/>
          <w:szCs w:val="28"/>
          <w:shd w:val="clear" w:color="auto" w:fill="F8F8F8"/>
        </w:rPr>
      </w:pPr>
      <w:r w:rsidRPr="005764E8">
        <w:rPr>
          <w:rFonts w:ascii="微軟正黑體" w:eastAsia="微軟正黑體" w:hAnsi="微軟正黑體" w:cs="Helvetica"/>
          <w:color w:val="000000"/>
          <w:sz w:val="28"/>
          <w:szCs w:val="28"/>
          <w:shd w:val="clear" w:color="auto" w:fill="F8F8F8"/>
        </w:rPr>
        <w:t>為使投資人得以集中保管之有價證券辦理提存，</w:t>
      </w:r>
      <w:r w:rsidR="000A7F79">
        <w:rPr>
          <w:rFonts w:ascii="微軟正黑體" w:eastAsia="微軟正黑體" w:hAnsi="微軟正黑體" w:cs="Helvetica" w:hint="eastAsia"/>
          <w:color w:val="000000"/>
          <w:sz w:val="28"/>
          <w:szCs w:val="28"/>
          <w:shd w:val="clear" w:color="auto" w:fill="F8F8F8"/>
        </w:rPr>
        <w:t>提存法</w:t>
      </w:r>
      <w:bookmarkStart w:id="0" w:name="_GoBack"/>
      <w:bookmarkEnd w:id="0"/>
      <w:r w:rsidRPr="005764E8">
        <w:rPr>
          <w:rFonts w:ascii="微軟正黑體" w:eastAsia="微軟正黑體" w:hAnsi="微軟正黑體" w:cs="Helvetica"/>
          <w:color w:val="000000"/>
          <w:sz w:val="28"/>
          <w:szCs w:val="28"/>
          <w:shd w:val="clear" w:color="auto" w:fill="F8F8F8"/>
        </w:rPr>
        <w:t>於2005年修正增訂第7條第2項及第13條第2項規定，有價證券以登記形式或帳簿劃撥方式保管、登錄者，其提存之程序及提存證券之償還金、替代證券、孳息之代為受取程序，授權由司法院定之，司法院遂於2010年7月5日訂定「集中保管有價證券之提存及其償還金替代證券孳息代為受取辦法」明定相關程序，繼於2017年修正部分規定，並定於同年7月3日施行。集保結算所配合該項辦法之訂定，規劃集中保管有價證券帳簿劃撥擔保提存作業，以強化集中保管帳簿劃撥作業功能，滿足投資人辦理有價證券提存需求。</w:t>
      </w:r>
    </w:p>
    <w:p w:rsidR="005321F6" w:rsidRPr="005764E8" w:rsidRDefault="005321F6" w:rsidP="00B2529C">
      <w:pPr>
        <w:rPr>
          <w:rFonts w:ascii="微軟正黑體" w:eastAsia="微軟正黑體" w:hAnsi="微軟正黑體"/>
          <w:sz w:val="28"/>
          <w:szCs w:val="28"/>
        </w:rPr>
      </w:pPr>
    </w:p>
    <w:p w:rsidR="005321F6" w:rsidRPr="005764E8" w:rsidRDefault="005321F6" w:rsidP="005321F6">
      <w:pPr>
        <w:widowControl/>
        <w:shd w:val="clear" w:color="auto" w:fill="FFFFFF"/>
        <w:spacing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集中保管有價證券提存作業程序</w:t>
      </w:r>
    </w:p>
    <w:p w:rsidR="005321F6" w:rsidRPr="005764E8" w:rsidRDefault="005321F6" w:rsidP="005321F6">
      <w:pPr>
        <w:widowControl/>
        <w:shd w:val="clear" w:color="auto" w:fill="FFFFFF"/>
        <w:spacing w:before="100" w:beforeAutospacing="1"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第一步　準備文件</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提存人取得法院准以集中保管有價證券為提存物之裁判後，準備下列文件：</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1.提存書一式2份</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lastRenderedPageBreak/>
        <w:t>2.法院裁判書正本或影本及其他相關文件</w:t>
      </w:r>
    </w:p>
    <w:p w:rsidR="005321F6" w:rsidRPr="005764E8" w:rsidRDefault="005321F6" w:rsidP="005321F6">
      <w:pPr>
        <w:widowControl/>
        <w:shd w:val="clear" w:color="auto" w:fill="FFFFFF"/>
        <w:spacing w:before="100" w:beforeAutospacing="1"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第二步　向往來證券商申請轉帳</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1.檢附第一步準備之文件及證券存摺，填具「國庫保管品申請書」，並簽蓋集保原留印鑑</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2.證券商辦理轉帳後，向證券商領取用印後之提存證明書</w:t>
      </w:r>
    </w:p>
    <w:p w:rsidR="005321F6" w:rsidRPr="005764E8" w:rsidRDefault="005321F6" w:rsidP="005321F6">
      <w:pPr>
        <w:widowControl/>
        <w:shd w:val="clear" w:color="auto" w:fill="FFFFFF"/>
        <w:spacing w:before="100" w:beforeAutospacing="1"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第三步　提存人至法院所在地代理國庫銀行繳交費用及領取寄存證相關聯單</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1.檢附第一步準備之文件及證券商用印後之提存證明書，向代理國庫銀行繳交作業手續費(內含支付集保結算所處理服務費新臺幣500元）後領取寄存證相關聯單</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2.繳交擔保提存費：依提存法第28條第3項規定，每件繳納新臺幣500元，請先洽法院收費處開立繳款單據後，向代理國庫銀行繳交並取得擔保提存費繳款證明</w:t>
      </w:r>
    </w:p>
    <w:p w:rsidR="005321F6" w:rsidRPr="005764E8" w:rsidRDefault="005321F6" w:rsidP="005321F6">
      <w:pPr>
        <w:widowControl/>
        <w:shd w:val="clear" w:color="auto" w:fill="FFFFFF"/>
        <w:spacing w:before="100" w:beforeAutospacing="1"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第四步　提存人將下列文件送交法院提存所</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1.提存書一式2份</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2.法院裁判書正本或影本及其他相關文件</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lastRenderedPageBreak/>
        <w:t>3.代理國庫銀行用印之寄存證相關聯單</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4.擔保提存費繳款證明</w:t>
      </w:r>
    </w:p>
    <w:p w:rsidR="005321F6" w:rsidRPr="005764E8" w:rsidRDefault="005321F6" w:rsidP="005321F6">
      <w:pPr>
        <w:widowControl/>
        <w:shd w:val="clear" w:color="auto" w:fill="FFFFFF"/>
        <w:spacing w:before="100" w:beforeAutospacing="1"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提存人取回提存之集中保管有價證券作業程序</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提存人聲請取回提存之有價證券時，應符合提存法第18條及同法施行細則第30條等規定，填寫「取回提存物聲請書」向該管法院聲請。法院提存所准許取回後，提存人填寫「提存物取回/領取/拍賣轉帳通知書」(蓋妥與提存時同式之章戳或簽名)，並檢附下列文件向代理國庫銀行申請：</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1.法院提存所准許取回之聲請書。</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2.蓋有法院原留印鑑之寄存證。</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3.代理國庫銀行審核無誤後將取回之有價證券撥入提存人集中保管帳戶。</w:t>
      </w:r>
    </w:p>
    <w:p w:rsidR="005321F6" w:rsidRPr="005764E8" w:rsidRDefault="005321F6" w:rsidP="005321F6">
      <w:pPr>
        <w:widowControl/>
        <w:shd w:val="clear" w:color="auto" w:fill="FFFFFF"/>
        <w:spacing w:before="100" w:beforeAutospacing="1" w:after="100" w:afterAutospacing="1"/>
        <w:outlineLvl w:val="1"/>
        <w:rPr>
          <w:rFonts w:ascii="微軟正黑體" w:eastAsia="微軟正黑體" w:hAnsi="微軟正黑體" w:cs="Helvetica"/>
          <w:b/>
          <w:bCs/>
          <w:color w:val="000000"/>
          <w:kern w:val="0"/>
          <w:sz w:val="28"/>
          <w:szCs w:val="28"/>
        </w:rPr>
      </w:pPr>
      <w:r w:rsidRPr="005764E8">
        <w:rPr>
          <w:rFonts w:ascii="微軟正黑體" w:eastAsia="微軟正黑體" w:hAnsi="微軟正黑體" w:cs="Helvetica"/>
          <w:b/>
          <w:bCs/>
          <w:color w:val="000000"/>
          <w:kern w:val="0"/>
          <w:sz w:val="28"/>
          <w:szCs w:val="28"/>
        </w:rPr>
        <w:t>領取人領取提存之集中保管有價證券作業程序</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領取人聲請領取提存之有價證券時，應符合提存法第18條及同法施行細則第31條等規定，填寫「領取提存物聲請書」(蓋妥章戳或簽名)</w:t>
      </w:r>
      <w:r w:rsidRPr="005764E8">
        <w:rPr>
          <w:rFonts w:ascii="微軟正黑體" w:eastAsia="微軟正黑體" w:hAnsi="微軟正黑體" w:cs="Helvetica"/>
          <w:color w:val="000000"/>
          <w:kern w:val="0"/>
          <w:sz w:val="28"/>
          <w:szCs w:val="28"/>
        </w:rPr>
        <w:lastRenderedPageBreak/>
        <w:t>向該管法院聲請。法院提存所准許領取後，領取人填寫「提存物取回/領取/拍賣轉帳通知書」，並檢附下列文件向代理國庫銀行申請：</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1.法院提存所准許領取之聲請書。</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2.蓋有法院原留印鑑之寄存證。</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3.完稅證明。</w:t>
      </w:r>
    </w:p>
    <w:p w:rsidR="005321F6" w:rsidRPr="005764E8" w:rsidRDefault="005321F6" w:rsidP="005321F6">
      <w:pPr>
        <w:widowControl/>
        <w:shd w:val="clear" w:color="auto" w:fill="FFFFFF"/>
        <w:spacing w:before="240" w:after="240"/>
        <w:jc w:val="both"/>
        <w:rPr>
          <w:rFonts w:ascii="微軟正黑體" w:eastAsia="微軟正黑體" w:hAnsi="微軟正黑體" w:cs="Helvetica"/>
          <w:color w:val="000000"/>
          <w:kern w:val="0"/>
          <w:sz w:val="28"/>
          <w:szCs w:val="28"/>
        </w:rPr>
      </w:pPr>
      <w:r w:rsidRPr="005764E8">
        <w:rPr>
          <w:rFonts w:ascii="微軟正黑體" w:eastAsia="微軟正黑體" w:hAnsi="微軟正黑體" w:cs="Helvetica"/>
          <w:color w:val="000000"/>
          <w:kern w:val="0"/>
          <w:sz w:val="28"/>
          <w:szCs w:val="28"/>
        </w:rPr>
        <w:t>代理國庫銀行審核無誤後將領取之有價證券撥入領取人集中保管帳戶。</w:t>
      </w:r>
    </w:p>
    <w:sectPr w:rsidR="005321F6" w:rsidRPr="005764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7C" w:rsidRDefault="00FD387C" w:rsidP="00686E2D">
      <w:r>
        <w:separator/>
      </w:r>
    </w:p>
  </w:endnote>
  <w:endnote w:type="continuationSeparator" w:id="0">
    <w:p w:rsidR="00FD387C" w:rsidRDefault="00FD387C" w:rsidP="0068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7C" w:rsidRDefault="00FD387C" w:rsidP="00686E2D">
      <w:r>
        <w:separator/>
      </w:r>
    </w:p>
  </w:footnote>
  <w:footnote w:type="continuationSeparator" w:id="0">
    <w:p w:rsidR="00FD387C" w:rsidRDefault="00FD387C" w:rsidP="00686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9C"/>
    <w:rsid w:val="000A7F79"/>
    <w:rsid w:val="005321F6"/>
    <w:rsid w:val="005764E8"/>
    <w:rsid w:val="00686E2D"/>
    <w:rsid w:val="00920B5A"/>
    <w:rsid w:val="009E5BEC"/>
    <w:rsid w:val="00A82BFB"/>
    <w:rsid w:val="00B2529C"/>
    <w:rsid w:val="00FD3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C172F4-4CB4-44E0-A8FB-5EB5EA7C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5321F6"/>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321F6"/>
    <w:rPr>
      <w:rFonts w:ascii="新細明體" w:eastAsia="新細明體" w:hAnsi="新細明體" w:cs="新細明體"/>
      <w:b/>
      <w:bCs/>
      <w:kern w:val="0"/>
      <w:sz w:val="36"/>
      <w:szCs w:val="36"/>
    </w:rPr>
  </w:style>
  <w:style w:type="paragraph" w:styleId="Web">
    <w:name w:val="Normal (Web)"/>
    <w:basedOn w:val="a"/>
    <w:uiPriority w:val="99"/>
    <w:semiHidden/>
    <w:unhideWhenUsed/>
    <w:rsid w:val="005321F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5321F6"/>
    <w:rPr>
      <w:color w:val="0000FF"/>
      <w:u w:val="single"/>
    </w:rPr>
  </w:style>
  <w:style w:type="paragraph" w:styleId="a4">
    <w:name w:val="header"/>
    <w:basedOn w:val="a"/>
    <w:link w:val="a5"/>
    <w:uiPriority w:val="99"/>
    <w:unhideWhenUsed/>
    <w:rsid w:val="00686E2D"/>
    <w:pPr>
      <w:tabs>
        <w:tab w:val="center" w:pos="4153"/>
        <w:tab w:val="right" w:pos="8306"/>
      </w:tabs>
      <w:snapToGrid w:val="0"/>
    </w:pPr>
    <w:rPr>
      <w:sz w:val="20"/>
      <w:szCs w:val="20"/>
    </w:rPr>
  </w:style>
  <w:style w:type="character" w:customStyle="1" w:styleId="a5">
    <w:name w:val="頁首 字元"/>
    <w:basedOn w:val="a0"/>
    <w:link w:val="a4"/>
    <w:uiPriority w:val="99"/>
    <w:rsid w:val="00686E2D"/>
    <w:rPr>
      <w:sz w:val="20"/>
      <w:szCs w:val="20"/>
    </w:rPr>
  </w:style>
  <w:style w:type="paragraph" w:styleId="a6">
    <w:name w:val="footer"/>
    <w:basedOn w:val="a"/>
    <w:link w:val="a7"/>
    <w:uiPriority w:val="99"/>
    <w:unhideWhenUsed/>
    <w:rsid w:val="00686E2D"/>
    <w:pPr>
      <w:tabs>
        <w:tab w:val="center" w:pos="4153"/>
        <w:tab w:val="right" w:pos="8306"/>
      </w:tabs>
      <w:snapToGrid w:val="0"/>
    </w:pPr>
    <w:rPr>
      <w:sz w:val="20"/>
      <w:szCs w:val="20"/>
    </w:rPr>
  </w:style>
  <w:style w:type="character" w:customStyle="1" w:styleId="a7">
    <w:name w:val="頁尾 字元"/>
    <w:basedOn w:val="a0"/>
    <w:link w:val="a6"/>
    <w:uiPriority w:val="99"/>
    <w:rsid w:val="00686E2D"/>
    <w:rPr>
      <w:sz w:val="20"/>
      <w:szCs w:val="20"/>
    </w:rPr>
  </w:style>
  <w:style w:type="character" w:styleId="a8">
    <w:name w:val="FollowedHyperlink"/>
    <w:basedOn w:val="a0"/>
    <w:uiPriority w:val="99"/>
    <w:semiHidden/>
    <w:unhideWhenUsed/>
    <w:rsid w:val="00686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515">
      <w:bodyDiv w:val="1"/>
      <w:marLeft w:val="0"/>
      <w:marRight w:val="0"/>
      <w:marTop w:val="0"/>
      <w:marBottom w:val="0"/>
      <w:divBdr>
        <w:top w:val="none" w:sz="0" w:space="0" w:color="auto"/>
        <w:left w:val="none" w:sz="0" w:space="0" w:color="auto"/>
        <w:bottom w:val="none" w:sz="0" w:space="0" w:color="auto"/>
        <w:right w:val="none" w:sz="0" w:space="0" w:color="auto"/>
      </w:divBdr>
    </w:div>
    <w:div w:id="110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呂俊寬</dc:creator>
  <cp:keywords/>
  <dc:description/>
  <cp:lastModifiedBy>呂俊寬</cp:lastModifiedBy>
  <cp:revision>3</cp:revision>
  <dcterms:created xsi:type="dcterms:W3CDTF">2024-08-07T04:22:00Z</dcterms:created>
  <dcterms:modified xsi:type="dcterms:W3CDTF">2024-08-07T04:22:00Z</dcterms:modified>
</cp:coreProperties>
</file>