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42" w:rsidRPr="006706F4" w:rsidRDefault="00EE3442" w:rsidP="006706F4">
      <w:pPr>
        <w:pStyle w:val="2"/>
        <w:shd w:val="clear" w:color="auto" w:fill="FFFFFF"/>
        <w:spacing w:line="480" w:lineRule="exact"/>
        <w:jc w:val="both"/>
        <w:rPr>
          <w:rFonts w:ascii="微軟正黑體" w:eastAsia="微軟正黑體" w:hAnsi="微軟正黑體"/>
          <w:b w:val="0"/>
          <w:sz w:val="44"/>
          <w:szCs w:val="44"/>
        </w:rPr>
      </w:pPr>
      <w:r w:rsidRPr="006706F4">
        <w:rPr>
          <w:rFonts w:ascii="微軟正黑體" w:eastAsia="微軟正黑體" w:hAnsi="微軟正黑體"/>
          <w:sz w:val="44"/>
          <w:szCs w:val="44"/>
        </w:rPr>
        <w:t>質權作業</w:t>
      </w:r>
    </w:p>
    <w:p w:rsidR="00EE3442" w:rsidRPr="006706F4" w:rsidRDefault="00EE3442" w:rsidP="00EF4D46">
      <w:pPr>
        <w:spacing w:line="480" w:lineRule="exact"/>
        <w:jc w:val="both"/>
        <w:rPr>
          <w:rFonts w:ascii="微軟正黑體" w:eastAsia="微軟正黑體" w:hAnsi="微軟正黑體"/>
          <w:sz w:val="28"/>
          <w:szCs w:val="28"/>
        </w:rPr>
      </w:pPr>
      <w:r w:rsidRPr="006706F4">
        <w:rPr>
          <w:rFonts w:ascii="微軟正黑體" w:eastAsia="微軟正黑體" w:hAnsi="微軟正黑體"/>
          <w:sz w:val="28"/>
          <w:szCs w:val="28"/>
        </w:rPr>
        <w:t>為提供出質人及質權人雙方於辦理有價證券質權設定，本公司自1994年5月2日實施以帳簿劃撥方式辦理設質交付作業，提供證券市場包含質權設定、解除、實行質權、質權移轉、質權餘額轉帳等快速、便捷、安全之設質交付方式。</w:t>
      </w:r>
    </w:p>
    <w:p w:rsidR="00EF4D46" w:rsidRPr="006706F4" w:rsidRDefault="00EF4D46" w:rsidP="00EF4D46">
      <w:pPr>
        <w:spacing w:line="480" w:lineRule="exact"/>
        <w:jc w:val="both"/>
        <w:rPr>
          <w:rFonts w:ascii="微軟正黑體" w:eastAsia="微軟正黑體" w:hAnsi="微軟正黑體"/>
          <w:sz w:val="28"/>
          <w:szCs w:val="28"/>
        </w:rPr>
      </w:pPr>
    </w:p>
    <w:p w:rsidR="00EE3442" w:rsidRPr="006706F4" w:rsidRDefault="00EE3442" w:rsidP="00EF4D46">
      <w:pPr>
        <w:pStyle w:val="2"/>
        <w:shd w:val="clear" w:color="auto" w:fill="FFFFFF"/>
        <w:spacing w:line="480" w:lineRule="exact"/>
        <w:jc w:val="both"/>
        <w:rPr>
          <w:rFonts w:ascii="微軟正黑體" w:eastAsia="微軟正黑體" w:hAnsi="微軟正黑體" w:cs="Helvetica"/>
          <w:color w:val="000000"/>
          <w:sz w:val="44"/>
          <w:szCs w:val="44"/>
        </w:rPr>
      </w:pPr>
      <w:r w:rsidRPr="006706F4">
        <w:rPr>
          <w:rFonts w:ascii="微軟正黑體" w:eastAsia="微軟正黑體" w:hAnsi="微軟正黑體" w:cs="Helvetica"/>
          <w:color w:val="000000"/>
          <w:sz w:val="44"/>
          <w:szCs w:val="44"/>
        </w:rPr>
        <w:t>質權設定</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出質人及質權人均須開設集保帳戶，並由出質人持集保證券存摺及開戶原留印鑑填具「有價證券質權設定帳簿劃撥申請書」，加蓋出質人集保帳戶原留印鑑及質權人印鑑向往來參加人申請。投資人買進之有價證券，須於有價證券劃撥入帳後次一營業日(即買進成交日後第三營業日)，始得申請辦理設質交付之帳簿劃撥；設質之有價證券於質權存續期間，出質人不能申請辦理領回、賣出、轉撥及匯撥等交易。</w:t>
      </w:r>
    </w:p>
    <w:p w:rsidR="00EF4D46" w:rsidRPr="006706F4" w:rsidRDefault="00EF4D46"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EE3442" w:rsidRPr="006706F4" w:rsidRDefault="00EE3442" w:rsidP="00EF4D46">
      <w:pPr>
        <w:pStyle w:val="2"/>
        <w:shd w:val="clear" w:color="auto" w:fill="FFFFFF"/>
        <w:spacing w:line="480" w:lineRule="exact"/>
        <w:jc w:val="both"/>
        <w:rPr>
          <w:rFonts w:ascii="微軟正黑體" w:eastAsia="微軟正黑體" w:hAnsi="微軟正黑體" w:cs="Helvetica"/>
          <w:color w:val="000000"/>
          <w:sz w:val="44"/>
          <w:szCs w:val="44"/>
        </w:rPr>
      </w:pPr>
      <w:r w:rsidRPr="006706F4">
        <w:rPr>
          <w:rFonts w:ascii="微軟正黑體" w:eastAsia="微軟正黑體" w:hAnsi="微軟正黑體" w:cs="Helvetica"/>
          <w:color w:val="000000"/>
          <w:sz w:val="44"/>
          <w:szCs w:val="44"/>
        </w:rPr>
        <w:t>質權解除</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質權人之參加人使用連線電腦通知質權解除相關資料，審核無誤後即將原設質之有價證券撥回出質人集保帳戶。</w:t>
      </w:r>
    </w:p>
    <w:p w:rsidR="00EF4D46" w:rsidRPr="006706F4" w:rsidRDefault="00EF4D46"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EE3442" w:rsidRPr="006706F4" w:rsidRDefault="00EE3442" w:rsidP="00EF4D46">
      <w:pPr>
        <w:pStyle w:val="2"/>
        <w:shd w:val="clear" w:color="auto" w:fill="FFFFFF"/>
        <w:spacing w:line="480" w:lineRule="exact"/>
        <w:jc w:val="both"/>
        <w:rPr>
          <w:rFonts w:ascii="微軟正黑體" w:eastAsia="微軟正黑體" w:hAnsi="微軟正黑體" w:cs="Helvetica"/>
          <w:color w:val="000000"/>
          <w:sz w:val="44"/>
          <w:szCs w:val="44"/>
        </w:rPr>
      </w:pPr>
      <w:r w:rsidRPr="006706F4">
        <w:rPr>
          <w:rFonts w:ascii="微軟正黑體" w:eastAsia="微軟正黑體" w:hAnsi="微軟正黑體" w:cs="Helvetica"/>
          <w:color w:val="000000"/>
          <w:sz w:val="44"/>
          <w:szCs w:val="44"/>
        </w:rPr>
        <w:t>實行質權</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質權人進行質物自行拍賣轉帳、質物領回、取得質物所有權轉帳、質物強制執行轉帳、質物強制執行領回或委託公正第三人拍賣質物。</w:t>
      </w:r>
    </w:p>
    <w:p w:rsidR="00EF4D46" w:rsidRPr="006706F4" w:rsidRDefault="00EF4D46"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p>
    <w:p w:rsidR="00EE3442" w:rsidRPr="006706F4" w:rsidRDefault="00EE3442" w:rsidP="00EF4D46">
      <w:pPr>
        <w:pStyle w:val="2"/>
        <w:shd w:val="clear" w:color="auto" w:fill="FFFFFF"/>
        <w:spacing w:line="480" w:lineRule="exact"/>
        <w:jc w:val="both"/>
        <w:rPr>
          <w:rFonts w:ascii="微軟正黑體" w:eastAsia="微軟正黑體" w:hAnsi="微軟正黑體" w:cs="Helvetica"/>
          <w:color w:val="000000"/>
          <w:sz w:val="44"/>
          <w:szCs w:val="44"/>
        </w:rPr>
      </w:pPr>
      <w:r w:rsidRPr="006706F4">
        <w:rPr>
          <w:rFonts w:ascii="微軟正黑體" w:eastAsia="微軟正黑體" w:hAnsi="微軟正黑體" w:cs="Helvetica"/>
          <w:color w:val="000000"/>
          <w:sz w:val="44"/>
          <w:szCs w:val="44"/>
        </w:rPr>
        <w:lastRenderedPageBreak/>
        <w:t>質權移轉</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當質權人移轉其質權給他人，質權人變動或出質人移轉其出質人身分給他人，改變出質人。</w:t>
      </w:r>
    </w:p>
    <w:p w:rsidR="00EE3442" w:rsidRPr="006706F4" w:rsidRDefault="00EE3442" w:rsidP="00EF4D46">
      <w:pPr>
        <w:pStyle w:val="2"/>
        <w:shd w:val="clear" w:color="auto" w:fill="FFFFFF"/>
        <w:spacing w:line="480" w:lineRule="exact"/>
        <w:jc w:val="both"/>
        <w:rPr>
          <w:rFonts w:ascii="微軟正黑體" w:eastAsia="微軟正黑體" w:hAnsi="微軟正黑體" w:cs="Helvetica"/>
          <w:color w:val="000000"/>
          <w:sz w:val="44"/>
          <w:szCs w:val="44"/>
        </w:rPr>
      </w:pPr>
      <w:r w:rsidRPr="006706F4">
        <w:rPr>
          <w:rFonts w:ascii="微軟正黑體" w:eastAsia="微軟正黑體" w:hAnsi="微軟正黑體" w:cs="Helvetica"/>
          <w:color w:val="000000"/>
          <w:sz w:val="44"/>
          <w:szCs w:val="44"/>
        </w:rPr>
        <w:t>質權餘額轉帳</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出質人變更帳號、出質人因公司合併、分割或營業讓與，申請將質物移轉予存續、新設或受讓公司申請質權餘額轉帳，及質權人變更帳號。</w:t>
      </w:r>
    </w:p>
    <w:p w:rsidR="00EE3442" w:rsidRPr="006706F4" w:rsidRDefault="00EE3442" w:rsidP="00EF4D46">
      <w:pPr>
        <w:pStyle w:val="Web"/>
        <w:shd w:val="clear" w:color="auto" w:fill="FFFFFF"/>
        <w:spacing w:before="240" w:beforeAutospacing="0" w:after="240" w:afterAutospacing="0" w:line="480" w:lineRule="exact"/>
        <w:jc w:val="both"/>
        <w:rPr>
          <w:rFonts w:ascii="微軟正黑體" w:eastAsia="微軟正黑體" w:hAnsi="微軟正黑體" w:cs="Helvetica"/>
          <w:color w:val="000000"/>
          <w:sz w:val="28"/>
          <w:szCs w:val="28"/>
        </w:rPr>
      </w:pPr>
      <w:r w:rsidRPr="006706F4">
        <w:rPr>
          <w:rFonts w:ascii="微軟正黑體" w:eastAsia="微軟正黑體" w:hAnsi="微軟正黑體" w:cs="Helvetica"/>
          <w:color w:val="000000"/>
          <w:sz w:val="28"/>
          <w:szCs w:val="28"/>
        </w:rPr>
        <w:t>詳細作業程序請參閱：本網站/法令規章下之</w:t>
      </w:r>
    </w:p>
    <w:p w:rsidR="003C14F0" w:rsidRPr="0034206B" w:rsidRDefault="0034206B" w:rsidP="00EF4D46">
      <w:pPr>
        <w:spacing w:line="480" w:lineRule="exact"/>
        <w:jc w:val="both"/>
        <w:rPr>
          <w:rFonts w:ascii="微軟正黑體" w:eastAsia="微軟正黑體" w:hAnsi="微軟正黑體" w:cs="Helvetica"/>
          <w:color w:val="000000"/>
          <w:kern w:val="0"/>
          <w:sz w:val="28"/>
          <w:szCs w:val="28"/>
        </w:rPr>
      </w:pPr>
      <w:r w:rsidRPr="0034206B">
        <w:rPr>
          <w:rFonts w:ascii="微軟正黑體" w:eastAsia="微軟正黑體" w:hAnsi="微軟正黑體" w:cs="Helvetica" w:hint="eastAsia"/>
          <w:color w:val="000000"/>
          <w:kern w:val="0"/>
          <w:sz w:val="28"/>
          <w:szCs w:val="28"/>
        </w:rPr>
        <w:t>「臺灣集中保管結算所股份有限公司參加人辦理有價證券設質交付帳簿劃撥作業配合事項」</w:t>
      </w:r>
      <w:bookmarkStart w:id="0" w:name="_GoBack"/>
      <w:bookmarkEnd w:id="0"/>
    </w:p>
    <w:sectPr w:rsidR="003C14F0" w:rsidRPr="0034206B" w:rsidSect="00D63DA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D5" w:rsidRDefault="00EB69D5" w:rsidP="006706F4">
      <w:r>
        <w:separator/>
      </w:r>
    </w:p>
  </w:endnote>
  <w:endnote w:type="continuationSeparator" w:id="0">
    <w:p w:rsidR="00EB69D5" w:rsidRDefault="00EB69D5" w:rsidP="0067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D5" w:rsidRDefault="00EB69D5" w:rsidP="006706F4">
      <w:r>
        <w:separator/>
      </w:r>
    </w:p>
  </w:footnote>
  <w:footnote w:type="continuationSeparator" w:id="0">
    <w:p w:rsidR="00EB69D5" w:rsidRDefault="00EB69D5" w:rsidP="0067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32B6"/>
    <w:multiLevelType w:val="multilevel"/>
    <w:tmpl w:val="64E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F0E2E"/>
    <w:multiLevelType w:val="multilevel"/>
    <w:tmpl w:val="653C1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07392"/>
    <w:multiLevelType w:val="multilevel"/>
    <w:tmpl w:val="E26E1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7"/>
    <w:rsid w:val="00202AA6"/>
    <w:rsid w:val="0034206B"/>
    <w:rsid w:val="00374277"/>
    <w:rsid w:val="006706F4"/>
    <w:rsid w:val="00A27D87"/>
    <w:rsid w:val="00BC264E"/>
    <w:rsid w:val="00D63DA2"/>
    <w:rsid w:val="00EB69D5"/>
    <w:rsid w:val="00EE3442"/>
    <w:rsid w:val="00EF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EFCF7F-46F0-4A26-B1EC-4D92391C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EE3442"/>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link w:val="40"/>
    <w:uiPriority w:val="9"/>
    <w:qFormat/>
    <w:rsid w:val="00A27D87"/>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A27D87"/>
    <w:rPr>
      <w:rFonts w:ascii="新細明體" w:eastAsia="新細明體" w:hAnsi="新細明體" w:cs="新細明體"/>
      <w:b/>
      <w:bCs/>
      <w:kern w:val="0"/>
      <w:szCs w:val="24"/>
    </w:rPr>
  </w:style>
  <w:style w:type="paragraph" w:styleId="Web">
    <w:name w:val="Normal (Web)"/>
    <w:basedOn w:val="a"/>
    <w:uiPriority w:val="99"/>
    <w:semiHidden/>
    <w:unhideWhenUsed/>
    <w:rsid w:val="00A27D8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27D87"/>
    <w:rPr>
      <w:b/>
      <w:bCs/>
    </w:rPr>
  </w:style>
  <w:style w:type="character" w:customStyle="1" w:styleId="20">
    <w:name w:val="標題 2 字元"/>
    <w:basedOn w:val="a0"/>
    <w:link w:val="2"/>
    <w:uiPriority w:val="9"/>
    <w:semiHidden/>
    <w:rsid w:val="00EE3442"/>
    <w:rPr>
      <w:rFonts w:asciiTheme="majorHAnsi" w:eastAsiaTheme="majorEastAsia" w:hAnsiTheme="majorHAnsi" w:cstheme="majorBidi"/>
      <w:b/>
      <w:bCs/>
      <w:sz w:val="48"/>
      <w:szCs w:val="48"/>
    </w:rPr>
  </w:style>
  <w:style w:type="character" w:styleId="a4">
    <w:name w:val="Hyperlink"/>
    <w:basedOn w:val="a0"/>
    <w:uiPriority w:val="99"/>
    <w:unhideWhenUsed/>
    <w:rsid w:val="00EE3442"/>
    <w:rPr>
      <w:color w:val="0563C1" w:themeColor="hyperlink"/>
      <w:u w:val="single"/>
    </w:rPr>
  </w:style>
  <w:style w:type="paragraph" w:styleId="a5">
    <w:name w:val="header"/>
    <w:basedOn w:val="a"/>
    <w:link w:val="a6"/>
    <w:uiPriority w:val="99"/>
    <w:unhideWhenUsed/>
    <w:rsid w:val="006706F4"/>
    <w:pPr>
      <w:tabs>
        <w:tab w:val="center" w:pos="4153"/>
        <w:tab w:val="right" w:pos="8306"/>
      </w:tabs>
      <w:snapToGrid w:val="0"/>
    </w:pPr>
    <w:rPr>
      <w:sz w:val="20"/>
      <w:szCs w:val="20"/>
    </w:rPr>
  </w:style>
  <w:style w:type="character" w:customStyle="1" w:styleId="a6">
    <w:name w:val="頁首 字元"/>
    <w:basedOn w:val="a0"/>
    <w:link w:val="a5"/>
    <w:uiPriority w:val="99"/>
    <w:rsid w:val="006706F4"/>
    <w:rPr>
      <w:sz w:val="20"/>
      <w:szCs w:val="20"/>
    </w:rPr>
  </w:style>
  <w:style w:type="paragraph" w:styleId="a7">
    <w:name w:val="footer"/>
    <w:basedOn w:val="a"/>
    <w:link w:val="a8"/>
    <w:uiPriority w:val="99"/>
    <w:unhideWhenUsed/>
    <w:rsid w:val="006706F4"/>
    <w:pPr>
      <w:tabs>
        <w:tab w:val="center" w:pos="4153"/>
        <w:tab w:val="right" w:pos="8306"/>
      </w:tabs>
      <w:snapToGrid w:val="0"/>
    </w:pPr>
    <w:rPr>
      <w:sz w:val="20"/>
      <w:szCs w:val="20"/>
    </w:rPr>
  </w:style>
  <w:style w:type="character" w:customStyle="1" w:styleId="a8">
    <w:name w:val="頁尾 字元"/>
    <w:basedOn w:val="a0"/>
    <w:link w:val="a7"/>
    <w:uiPriority w:val="99"/>
    <w:rsid w:val="006706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89138">
      <w:bodyDiv w:val="1"/>
      <w:marLeft w:val="0"/>
      <w:marRight w:val="0"/>
      <w:marTop w:val="0"/>
      <w:marBottom w:val="0"/>
      <w:divBdr>
        <w:top w:val="none" w:sz="0" w:space="0" w:color="auto"/>
        <w:left w:val="none" w:sz="0" w:space="0" w:color="auto"/>
        <w:bottom w:val="none" w:sz="0" w:space="0" w:color="auto"/>
        <w:right w:val="none" w:sz="0" w:space="0" w:color="auto"/>
      </w:divBdr>
    </w:div>
    <w:div w:id="1740782924">
      <w:bodyDiv w:val="1"/>
      <w:marLeft w:val="0"/>
      <w:marRight w:val="0"/>
      <w:marTop w:val="0"/>
      <w:marBottom w:val="0"/>
      <w:divBdr>
        <w:top w:val="none" w:sz="0" w:space="0" w:color="auto"/>
        <w:left w:val="none" w:sz="0" w:space="0" w:color="auto"/>
        <w:bottom w:val="none" w:sz="0" w:space="0" w:color="auto"/>
        <w:right w:val="none" w:sz="0" w:space="0" w:color="auto"/>
      </w:divBdr>
    </w:div>
    <w:div w:id="1746024536">
      <w:bodyDiv w:val="1"/>
      <w:marLeft w:val="0"/>
      <w:marRight w:val="0"/>
      <w:marTop w:val="0"/>
      <w:marBottom w:val="0"/>
      <w:divBdr>
        <w:top w:val="none" w:sz="0" w:space="0" w:color="auto"/>
        <w:left w:val="none" w:sz="0" w:space="0" w:color="auto"/>
        <w:bottom w:val="none" w:sz="0" w:space="0" w:color="auto"/>
        <w:right w:val="none" w:sz="0" w:space="0" w:color="auto"/>
      </w:divBdr>
    </w:div>
    <w:div w:id="18171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尤律鈞</dc:creator>
  <cp:keywords/>
  <dc:description/>
  <cp:lastModifiedBy>林佳薇</cp:lastModifiedBy>
  <cp:revision>2</cp:revision>
  <dcterms:created xsi:type="dcterms:W3CDTF">2024-08-01T03:47:00Z</dcterms:created>
  <dcterms:modified xsi:type="dcterms:W3CDTF">2024-08-01T03:47:00Z</dcterms:modified>
</cp:coreProperties>
</file>