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93DCC" w14:textId="77777777" w:rsidR="009B023F" w:rsidRDefault="0075731A">
      <w:pPr>
        <w:snapToGrid w:val="0"/>
        <w:spacing w:before="120" w:after="240"/>
        <w:jc w:val="center"/>
      </w:pPr>
      <w:r>
        <w:rPr>
          <w:rFonts w:ascii="標楷體" w:eastAsia="標楷體" w:hAnsi="標楷體"/>
          <w:b/>
          <w:noProof/>
          <w:color w:val="000000"/>
          <w:sz w:val="32"/>
          <w:lang w:val="zh-TW"/>
        </w:rPr>
        <mc:AlternateContent>
          <mc:Choice Requires="wps">
            <w:drawing>
              <wp:anchor distT="0" distB="0" distL="114300" distR="114300" simplePos="0" relativeHeight="251657728" behindDoc="0" locked="0" layoutInCell="1" allowOverlap="1" wp14:anchorId="1E2CEE12" wp14:editId="3CB5DA71">
                <wp:simplePos x="0" y="0"/>
                <wp:positionH relativeFrom="column">
                  <wp:posOffset>15873</wp:posOffset>
                </wp:positionH>
                <wp:positionV relativeFrom="paragraph">
                  <wp:posOffset>-337185</wp:posOffset>
                </wp:positionV>
                <wp:extent cx="1305562" cy="342900"/>
                <wp:effectExtent l="0" t="0" r="27938" b="19050"/>
                <wp:wrapNone/>
                <wp:docPr id="1" name="Text Box 3"/>
                <wp:cNvGraphicFramePr/>
                <a:graphic xmlns:a="http://schemas.openxmlformats.org/drawingml/2006/main">
                  <a:graphicData uri="http://schemas.microsoft.com/office/word/2010/wordprocessingShape">
                    <wps:wsp>
                      <wps:cNvSpPr txBox="1"/>
                      <wps:spPr>
                        <a:xfrm>
                          <a:off x="0" y="0"/>
                          <a:ext cx="1305562" cy="342900"/>
                        </a:xfrm>
                        <a:prstGeom prst="rect">
                          <a:avLst/>
                        </a:prstGeom>
                        <a:solidFill>
                          <a:srgbClr val="FFFFFF"/>
                        </a:solidFill>
                        <a:ln w="9528">
                          <a:solidFill>
                            <a:srgbClr val="000000"/>
                          </a:solidFill>
                          <a:prstDash val="solid"/>
                        </a:ln>
                      </wps:spPr>
                      <wps:txbx>
                        <w:txbxContent>
                          <w:p w14:paraId="7F11F559" w14:textId="77777777" w:rsidR="009B023F" w:rsidRDefault="0075731A">
                            <w:pPr>
                              <w:jc w:val="center"/>
                              <w:rPr>
                                <w:rFonts w:ascii="標楷體" w:eastAsia="標楷體" w:hAnsi="標楷體"/>
                                <w:b/>
                                <w:bCs/>
                              </w:rPr>
                            </w:pPr>
                            <w:r>
                              <w:rPr>
                                <w:rFonts w:ascii="標楷體" w:eastAsia="標楷體" w:hAnsi="標楷體"/>
                                <w:b/>
                                <w:bCs/>
                              </w:rPr>
                              <w:t>附表三之附件二</w:t>
                            </w:r>
                          </w:p>
                        </w:txbxContent>
                      </wps:txbx>
                      <wps:bodyPr vert="horz" wrap="square" lIns="91440" tIns="45720" rIns="91440" bIns="45720" anchor="t" anchorCtr="0" compatLnSpc="0">
                        <a:noAutofit/>
                      </wps:bodyPr>
                    </wps:wsp>
                  </a:graphicData>
                </a:graphic>
              </wp:anchor>
            </w:drawing>
          </mc:Choice>
          <mc:Fallback>
            <w:pict>
              <v:shapetype w14:anchorId="1E2CEE12" id="_x0000_t202" coordsize="21600,21600" o:spt="202" path="m,l,21600r21600,l21600,xe">
                <v:stroke joinstyle="miter"/>
                <v:path gradientshapeok="t" o:connecttype="rect"/>
              </v:shapetype>
              <v:shape id="Text Box 3" o:spid="_x0000_s1026" type="#_x0000_t202" style="position:absolute;left:0;text-align:left;margin-left:1.25pt;margin-top:-26.55pt;width:102.8pt;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" strokeweight=".26467mm">
                <v:textbox>
                  <w:txbxContent>
                    <w:p w14:paraId="7F11F559" w14:textId="77777777" w:rsidR="009B023F" w:rsidRDefault="0075731A">
                      <w:pPr>
                        <w:jc w:val="center"/>
                        <w:rPr>
                          <w:rFonts w:ascii="標楷體" w:eastAsia="標楷體" w:hAnsi="標楷體"/>
                          <w:b/>
                          <w:bCs/>
                        </w:rPr>
                      </w:pPr>
                      <w:r>
                        <w:rPr>
                          <w:rFonts w:ascii="標楷體" w:eastAsia="標楷體" w:hAnsi="標楷體"/>
                          <w:b/>
                          <w:bCs/>
                        </w:rPr>
                        <w:t>附表三之附件二</w:t>
                      </w:r>
                    </w:p>
                  </w:txbxContent>
                </v:textbox>
              </v:shape>
            </w:pict>
          </mc:Fallback>
        </mc:AlternateContent>
      </w:r>
      <w:r>
        <w:rPr>
          <w:rFonts w:ascii="標楷體" w:eastAsia="標楷體" w:hAnsi="標楷體"/>
          <w:b/>
          <w:color w:val="000000"/>
          <w:sz w:val="32"/>
        </w:rPr>
        <w:t>境外基金總代理人申報募集及銷售境外基金審查表</w:t>
      </w:r>
    </w:p>
    <w:tbl>
      <w:tblPr>
        <w:tblW w:w="5014" w:type="pct"/>
        <w:jc w:val="center"/>
        <w:tblCellMar>
          <w:left w:w="10" w:type="dxa"/>
          <w:right w:w="10" w:type="dxa"/>
        </w:tblCellMar>
        <w:tblLook w:val="0000" w:firstRow="0" w:lastRow="0" w:firstColumn="0" w:lastColumn="0" w:noHBand="0" w:noVBand="0"/>
      </w:tblPr>
      <w:tblGrid>
        <w:gridCol w:w="5055"/>
        <w:gridCol w:w="838"/>
        <w:gridCol w:w="840"/>
        <w:gridCol w:w="838"/>
        <w:gridCol w:w="842"/>
        <w:gridCol w:w="941"/>
        <w:gridCol w:w="939"/>
      </w:tblGrid>
      <w:tr w:rsidR="009B023F" w14:paraId="51694115" w14:textId="77777777">
        <w:tblPrEx>
          <w:tblCellMar>
            <w:top w:w="0" w:type="dxa"/>
            <w:bottom w:w="0" w:type="dxa"/>
          </w:tblCellMar>
        </w:tblPrEx>
        <w:trPr>
          <w:cantSplit/>
          <w:tblHeader/>
          <w:jc w:val="center"/>
        </w:trPr>
        <w:tc>
          <w:tcPr>
            <w:tcW w:w="505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746D4F" w14:textId="77777777" w:rsidR="009B023F" w:rsidRDefault="0075731A">
            <w:pPr>
              <w:jc w:val="center"/>
              <w:rPr>
                <w:rFonts w:eastAsia="標楷體"/>
                <w:color w:val="000000"/>
              </w:rPr>
            </w:pPr>
            <w:r>
              <w:rPr>
                <w:rFonts w:eastAsia="標楷體"/>
                <w:color w:val="000000"/>
              </w:rPr>
              <w:t>應</w:t>
            </w:r>
            <w:proofErr w:type="gramStart"/>
            <w:r>
              <w:rPr>
                <w:rFonts w:eastAsia="標楷體"/>
                <w:color w:val="000000"/>
              </w:rPr>
              <w:t>檢附書件</w:t>
            </w:r>
            <w:proofErr w:type="gramEnd"/>
          </w:p>
        </w:tc>
        <w:tc>
          <w:tcPr>
            <w:tcW w:w="335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92645D" w14:textId="77777777" w:rsidR="009B023F" w:rsidRDefault="0075731A">
            <w:pPr>
              <w:jc w:val="center"/>
            </w:pPr>
            <w:r>
              <w:rPr>
                <w:rFonts w:ascii="標楷體" w:eastAsia="標楷體" w:hAnsi="標楷體"/>
                <w:color w:val="000000"/>
                <w:position w:val="-36"/>
              </w:rPr>
              <w:t>公司填報</w:t>
            </w:r>
          </w:p>
        </w:tc>
        <w:tc>
          <w:tcPr>
            <w:tcW w:w="18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211682" w14:textId="77777777" w:rsidR="009B023F" w:rsidRDefault="0075731A">
            <w:pPr>
              <w:jc w:val="center"/>
            </w:pPr>
            <w:r>
              <w:rPr>
                <w:rFonts w:ascii="標楷體" w:eastAsia="標楷體" w:hAnsi="標楷體"/>
                <w:color w:val="000000"/>
                <w:position w:val="-36"/>
              </w:rPr>
              <w:t>同業公會審查</w:t>
            </w:r>
          </w:p>
        </w:tc>
      </w:tr>
      <w:tr w:rsidR="009B023F" w14:paraId="1832CA83" w14:textId="77777777">
        <w:tblPrEx>
          <w:tblCellMar>
            <w:top w:w="0" w:type="dxa"/>
            <w:bottom w:w="0" w:type="dxa"/>
          </w:tblCellMar>
        </w:tblPrEx>
        <w:trPr>
          <w:cantSplit/>
          <w:tblHeader/>
          <w:jc w:val="center"/>
        </w:trPr>
        <w:tc>
          <w:tcPr>
            <w:tcW w:w="50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F2A3E3" w14:textId="77777777" w:rsidR="009B023F" w:rsidRDefault="009B023F">
            <w:pPr>
              <w:jc w:val="center"/>
              <w:rPr>
                <w:rFonts w:eastAsia="標楷體"/>
                <w:color w:val="000000"/>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860C76" w14:textId="77777777" w:rsidR="009B023F" w:rsidRDefault="0075731A">
            <w:pPr>
              <w:jc w:val="center"/>
              <w:rPr>
                <w:rFonts w:eastAsia="標楷體"/>
                <w:color w:val="000000"/>
              </w:rPr>
            </w:pPr>
            <w:r>
              <w:rPr>
                <w:rFonts w:eastAsia="標楷體"/>
                <w:color w:val="000000"/>
              </w:rPr>
              <w:t>正常</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198F244" w14:textId="77777777" w:rsidR="009B023F" w:rsidRDefault="0075731A">
            <w:pPr>
              <w:jc w:val="center"/>
              <w:rPr>
                <w:rFonts w:eastAsia="標楷體"/>
                <w:color w:val="000000"/>
              </w:rPr>
            </w:pPr>
            <w:r>
              <w:rPr>
                <w:rFonts w:eastAsia="標楷體"/>
                <w:color w:val="000000"/>
              </w:rPr>
              <w:t>異常</w:t>
            </w:r>
          </w:p>
        </w:tc>
        <w:tc>
          <w:tcPr>
            <w:tcW w:w="8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930E05" w14:textId="77777777" w:rsidR="009B023F" w:rsidRDefault="0075731A">
            <w:pPr>
              <w:jc w:val="center"/>
              <w:rPr>
                <w:rFonts w:eastAsia="標楷體"/>
                <w:color w:val="000000"/>
              </w:rPr>
            </w:pPr>
            <w:r>
              <w:rPr>
                <w:rFonts w:eastAsia="標楷體"/>
                <w:color w:val="000000"/>
              </w:rPr>
              <w:t>不適用</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8D9E32" w14:textId="77777777" w:rsidR="009B023F" w:rsidRDefault="0075731A">
            <w:pPr>
              <w:jc w:val="center"/>
              <w:rPr>
                <w:rFonts w:eastAsia="標楷體"/>
                <w:color w:val="000000"/>
              </w:rPr>
            </w:pPr>
            <w:r>
              <w:rPr>
                <w:rFonts w:eastAsia="標楷體"/>
                <w:color w:val="000000"/>
              </w:rPr>
              <w:t>備註</w:t>
            </w: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FACFD7" w14:textId="77777777" w:rsidR="009B023F" w:rsidRDefault="0075731A">
            <w:pPr>
              <w:jc w:val="center"/>
              <w:rPr>
                <w:rFonts w:eastAsia="標楷體"/>
                <w:color w:val="000000"/>
              </w:rPr>
            </w:pPr>
            <w:r>
              <w:rPr>
                <w:rFonts w:eastAsia="標楷體"/>
                <w:color w:val="000000"/>
              </w:rPr>
              <w:t>符合</w:t>
            </w: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041F54" w14:textId="77777777" w:rsidR="009B023F" w:rsidRDefault="0075731A">
            <w:pPr>
              <w:jc w:val="center"/>
              <w:rPr>
                <w:rFonts w:eastAsia="標楷體"/>
                <w:color w:val="000000"/>
              </w:rPr>
            </w:pPr>
            <w:r>
              <w:rPr>
                <w:rFonts w:eastAsia="標楷體"/>
                <w:color w:val="000000"/>
              </w:rPr>
              <w:t>不符合</w:t>
            </w:r>
          </w:p>
        </w:tc>
      </w:tr>
      <w:tr w:rsidR="009B023F" w14:paraId="2A83794C" w14:textId="77777777">
        <w:tblPrEx>
          <w:tblCellMar>
            <w:top w:w="0" w:type="dxa"/>
            <w:bottom w:w="0" w:type="dxa"/>
          </w:tblCellMar>
        </w:tblPrEx>
        <w:trPr>
          <w:jc w:val="center"/>
        </w:trPr>
        <w:tc>
          <w:tcPr>
            <w:tcW w:w="50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F8FCAD8" w14:textId="77777777" w:rsidR="009B023F" w:rsidRDefault="0075731A">
            <w:pPr>
              <w:snapToGrid w:val="0"/>
              <w:spacing w:before="120" w:after="120"/>
              <w:ind w:left="425" w:right="60" w:hanging="425"/>
              <w:jc w:val="both"/>
              <w:rPr>
                <w:rFonts w:eastAsia="標楷體"/>
                <w:color w:val="000000"/>
              </w:rPr>
            </w:pPr>
            <w:r>
              <w:rPr>
                <w:rFonts w:eastAsia="標楷體"/>
                <w:color w:val="000000"/>
              </w:rPr>
              <w:t>一、境外基金基本資料表（內容及格式如附件一）。</w:t>
            </w:r>
          </w:p>
          <w:p w14:paraId="7A65B6B4" w14:textId="77777777" w:rsidR="009B023F" w:rsidRDefault="0075731A">
            <w:pPr>
              <w:snapToGrid w:val="0"/>
              <w:spacing w:before="120" w:after="120"/>
              <w:ind w:left="425" w:right="60" w:hanging="425"/>
              <w:jc w:val="both"/>
            </w:pPr>
            <w:r>
              <w:rPr>
                <w:rFonts w:eastAsia="標楷體"/>
                <w:color w:val="000000"/>
              </w:rPr>
              <w:t>二、符合境外</w:t>
            </w:r>
            <w:r>
              <w:rPr>
                <w:rFonts w:eastAsia="標楷體"/>
                <w:color w:val="000000"/>
                <w:spacing w:val="-4"/>
              </w:rPr>
              <w:t>基金</w:t>
            </w:r>
            <w:r>
              <w:rPr>
                <w:rFonts w:eastAsia="標楷體"/>
                <w:color w:val="000000"/>
              </w:rPr>
              <w:t>管理辦法第九條擔任境外基金總代理人之資格條件證明文件：</w:t>
            </w:r>
          </w:p>
          <w:p w14:paraId="2B1F0982" w14:textId="77777777" w:rsidR="009B023F" w:rsidRDefault="0075731A">
            <w:pPr>
              <w:snapToGrid w:val="0"/>
              <w:spacing w:before="120" w:after="120"/>
              <w:ind w:left="720" w:right="6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證券投資信託事業、證券投資顧問事業或證券經紀商之實收資本額、信託業兼營證券投資信託事業或證券投資顧問事業或銀行兼營證券經紀商之指</w:t>
            </w:r>
            <w:proofErr w:type="gramStart"/>
            <w:r>
              <w:rPr>
                <w:rFonts w:eastAsia="標楷體"/>
                <w:color w:val="000000"/>
              </w:rPr>
              <w:t>撥營</w:t>
            </w:r>
            <w:proofErr w:type="gramEnd"/>
            <w:r>
              <w:rPr>
                <w:rFonts w:eastAsia="標楷體"/>
                <w:color w:val="000000"/>
              </w:rPr>
              <w:t>運資金，或外國證券商專撥國內分支機構營業所用資金，應達新臺幣七千萬元以上。</w:t>
            </w:r>
          </w:p>
          <w:p w14:paraId="60BC8C47" w14:textId="77777777" w:rsidR="009B023F" w:rsidRDefault="0075731A">
            <w:pPr>
              <w:snapToGrid w:val="0"/>
              <w:spacing w:before="120" w:after="120"/>
              <w:ind w:left="720" w:right="6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最近期經會計師查核簽證之財務報告每股淨值不低於面額</w:t>
            </w:r>
            <w:r>
              <w:rPr>
                <w:rFonts w:eastAsia="標楷體"/>
                <w:color w:val="000000"/>
              </w:rPr>
              <w:t>(</w:t>
            </w:r>
            <w:r>
              <w:rPr>
                <w:rFonts w:eastAsia="標楷體"/>
                <w:color w:val="000000"/>
              </w:rPr>
              <w:t>得僅提供財務報告資產負債表相關頁次</w:t>
            </w:r>
            <w:r>
              <w:rPr>
                <w:rFonts w:eastAsia="標楷體"/>
                <w:color w:val="000000"/>
              </w:rPr>
              <w:t>)</w:t>
            </w:r>
            <w:r>
              <w:rPr>
                <w:rFonts w:eastAsia="標楷體"/>
                <w:color w:val="000000"/>
              </w:rPr>
              <w:t>。總代理人會計年度終了至查核簽證報表公告前提出申報時，若未檢附前一年度經會計師查核簽證之年度財務報表者，應出具聲明「該公司前一年度經會計師查核簽證年度財務報告之每股淨值將不低於面額」之聲明書。</w:t>
            </w:r>
          </w:p>
          <w:p w14:paraId="3C5E67A5" w14:textId="77777777" w:rsidR="009B023F" w:rsidRDefault="0075731A">
            <w:pPr>
              <w:snapToGrid w:val="0"/>
              <w:spacing w:before="120" w:after="120"/>
              <w:ind w:left="720" w:right="60" w:hanging="420"/>
              <w:jc w:val="both"/>
              <w:rPr>
                <w:rFonts w:eastAsia="標楷體"/>
                <w:color w:val="000000"/>
              </w:rPr>
            </w:pPr>
            <w:r>
              <w:rPr>
                <w:rFonts w:eastAsia="標楷體"/>
                <w:color w:val="000000"/>
              </w:rPr>
              <w:t>(</w:t>
            </w:r>
            <w:r>
              <w:rPr>
                <w:rFonts w:eastAsia="標楷體"/>
                <w:color w:val="000000"/>
              </w:rPr>
              <w:t>三</w:t>
            </w:r>
            <w:r>
              <w:rPr>
                <w:rFonts w:eastAsia="標楷體"/>
                <w:color w:val="000000"/>
              </w:rPr>
              <w:t>)</w:t>
            </w:r>
            <w:r>
              <w:rPr>
                <w:rFonts w:eastAsia="標楷體"/>
                <w:color w:val="000000"/>
              </w:rPr>
              <w:t>中華民國證券投資信託暨顧問商業同業公會（以下簡稱同業公會）出具具有即時取得境外基金機構投資及相關交易資訊之必要資訊傳輸設備之審查意見。</w:t>
            </w:r>
          </w:p>
          <w:p w14:paraId="0CBAF558" w14:textId="77777777" w:rsidR="009B023F" w:rsidRDefault="0075731A">
            <w:pPr>
              <w:snapToGrid w:val="0"/>
              <w:spacing w:before="120" w:after="120"/>
              <w:ind w:left="720" w:right="60" w:hanging="420"/>
              <w:jc w:val="both"/>
            </w:pPr>
            <w:r>
              <w:rPr>
                <w:rFonts w:eastAsia="標楷體"/>
                <w:color w:val="000000"/>
              </w:rPr>
              <w:t>(</w:t>
            </w:r>
            <w:r>
              <w:rPr>
                <w:rFonts w:eastAsia="標楷體"/>
                <w:color w:val="000000"/>
              </w:rPr>
              <w:t>四</w:t>
            </w:r>
            <w:r>
              <w:rPr>
                <w:rFonts w:eastAsia="標楷體"/>
                <w:color w:val="000000"/>
              </w:rPr>
              <w:t>)</w:t>
            </w:r>
            <w:r>
              <w:rPr>
                <w:rFonts w:eastAsia="標楷體"/>
                <w:color w:val="000000"/>
              </w:rPr>
              <w:t>聲明最近半年未曾受證券投資信託及顧問法第一百零三條第一款、證券交易法第六十六條第一款、期貨交易法第一百條第一款、信託業法第四十四條或銀行法第六十一條之</w:t>
            </w:r>
            <w:proofErr w:type="gramStart"/>
            <w:r>
              <w:rPr>
                <w:rFonts w:eastAsia="標楷體"/>
                <w:color w:val="000000"/>
              </w:rPr>
              <w:t>一</w:t>
            </w:r>
            <w:proofErr w:type="gramEnd"/>
            <w:r>
              <w:rPr>
                <w:rFonts w:eastAsia="標楷體"/>
                <w:color w:val="000000"/>
              </w:rPr>
              <w:t>第一項所定糾正、限期改善三次以上之處分、最近二年未曾受證券投資信託及顧問法第一百零三條第二款至第五款、證券交易法第六十六條第二款至第四款、期貨交易法第一百條第二款至第四款、信託業法第四十四條第一款至第三款或銀行法第六十一條之一第一項第一款至第</w:t>
            </w:r>
            <w:r>
              <w:rPr>
                <w:rFonts w:eastAsia="標楷體"/>
              </w:rPr>
              <w:t>八款或金融消費者保護法第十二條之一第一項第二款至第五款規定</w:t>
            </w:r>
            <w:r>
              <w:rPr>
                <w:rFonts w:eastAsia="標楷體"/>
                <w:color w:val="000000"/>
              </w:rPr>
              <w:t>之處分【但經金融監督管理</w:t>
            </w:r>
            <w:r>
              <w:rPr>
                <w:rFonts w:eastAsia="標楷體"/>
                <w:color w:val="000000"/>
              </w:rPr>
              <w:lastRenderedPageBreak/>
              <w:t>委員會（以下簡稱金管會）命令解除職員之職務者不在此限】。</w:t>
            </w:r>
          </w:p>
          <w:p w14:paraId="7B62E09F" w14:textId="77777777" w:rsidR="009B023F" w:rsidRDefault="0075731A">
            <w:pPr>
              <w:snapToGrid w:val="0"/>
              <w:spacing w:before="120" w:after="120"/>
              <w:ind w:left="720" w:right="60" w:hanging="420"/>
              <w:jc w:val="both"/>
              <w:rPr>
                <w:rFonts w:eastAsia="標楷體"/>
                <w:color w:val="000000"/>
              </w:rPr>
            </w:pPr>
            <w:r>
              <w:rPr>
                <w:rFonts w:eastAsia="標楷體"/>
                <w:color w:val="000000"/>
              </w:rPr>
              <w:t>(</w:t>
            </w:r>
            <w:r>
              <w:rPr>
                <w:rFonts w:eastAsia="標楷體"/>
                <w:color w:val="000000"/>
              </w:rPr>
              <w:t>五</w:t>
            </w:r>
            <w:r>
              <w:rPr>
                <w:rFonts w:eastAsia="標楷體"/>
                <w:color w:val="000000"/>
              </w:rPr>
              <w:t>)</w:t>
            </w:r>
            <w:r>
              <w:rPr>
                <w:rFonts w:eastAsia="標楷體"/>
                <w:color w:val="000000"/>
              </w:rPr>
              <w:t>辦理募集及銷售之業務人員及內部稽核人員，其資格條件及人數須符合境外基金管理辦法第十六條規定：</w:t>
            </w:r>
          </w:p>
          <w:p w14:paraId="1B5021AF" w14:textId="77777777" w:rsidR="009B023F" w:rsidRDefault="0075731A">
            <w:pPr>
              <w:snapToGrid w:val="0"/>
              <w:spacing w:before="120" w:after="120"/>
              <w:ind w:left="900" w:right="60" w:hanging="180"/>
              <w:jc w:val="both"/>
              <w:rPr>
                <w:rFonts w:eastAsia="標楷體"/>
                <w:color w:val="000000"/>
              </w:rPr>
            </w:pPr>
            <w:r>
              <w:rPr>
                <w:rFonts w:eastAsia="標楷體"/>
                <w:color w:val="000000"/>
              </w:rPr>
              <w:t>1.</w:t>
            </w:r>
            <w:r>
              <w:rPr>
                <w:rFonts w:eastAsia="標楷體"/>
                <w:color w:val="000000"/>
              </w:rPr>
              <w:t>同業公會出具業務人員及內部稽核人員資格審查合格之人員名冊及其資格證明文件。</w:t>
            </w:r>
          </w:p>
          <w:p w14:paraId="6C28FC08" w14:textId="77777777" w:rsidR="009B023F" w:rsidRDefault="0075731A">
            <w:pPr>
              <w:snapToGrid w:val="0"/>
              <w:spacing w:before="120" w:after="120"/>
              <w:ind w:left="900" w:right="60" w:hanging="180"/>
              <w:jc w:val="both"/>
              <w:rPr>
                <w:rFonts w:eastAsia="標楷體"/>
                <w:color w:val="000000"/>
              </w:rPr>
            </w:pPr>
            <w:r>
              <w:rPr>
                <w:rFonts w:eastAsia="標楷體"/>
                <w:color w:val="000000"/>
              </w:rPr>
              <w:t>2.</w:t>
            </w:r>
            <w:r>
              <w:rPr>
                <w:rFonts w:eastAsia="標楷體"/>
                <w:color w:val="000000"/>
              </w:rPr>
              <w:t>檢附「總代理人人員配置調查表」。</w:t>
            </w:r>
          </w:p>
          <w:p w14:paraId="7B59A75A" w14:textId="77777777" w:rsidR="009B023F" w:rsidRDefault="0075731A">
            <w:pPr>
              <w:snapToGrid w:val="0"/>
              <w:spacing w:before="120" w:after="120"/>
              <w:ind w:left="900" w:right="60" w:hanging="180"/>
              <w:jc w:val="both"/>
              <w:rPr>
                <w:rFonts w:eastAsia="標楷體"/>
                <w:color w:val="000000"/>
              </w:rPr>
            </w:pPr>
            <w:r>
              <w:rPr>
                <w:rFonts w:eastAsia="標楷體"/>
                <w:color w:val="000000"/>
              </w:rPr>
              <w:t>3.</w:t>
            </w:r>
            <w:r>
              <w:rPr>
                <w:rFonts w:eastAsia="標楷體"/>
                <w:color w:val="000000"/>
              </w:rPr>
              <w:t>產品分析人員及通路服務人員配置應符合配置規定。</w:t>
            </w:r>
          </w:p>
          <w:p w14:paraId="39762FFE" w14:textId="77777777" w:rsidR="009B023F" w:rsidRDefault="0075731A">
            <w:pPr>
              <w:snapToGrid w:val="0"/>
              <w:spacing w:before="120" w:after="120"/>
              <w:ind w:left="720" w:right="60" w:hanging="420"/>
              <w:jc w:val="both"/>
              <w:rPr>
                <w:rFonts w:eastAsia="標楷體"/>
                <w:color w:val="000000"/>
              </w:rPr>
            </w:pPr>
            <w:r>
              <w:rPr>
                <w:rFonts w:eastAsia="標楷體"/>
                <w:color w:val="000000"/>
              </w:rPr>
              <w:t>(</w:t>
            </w:r>
            <w:r>
              <w:rPr>
                <w:rFonts w:eastAsia="標楷體"/>
                <w:color w:val="000000"/>
              </w:rPr>
              <w:t>六</w:t>
            </w:r>
            <w:r>
              <w:rPr>
                <w:rFonts w:eastAsia="標楷體"/>
                <w:color w:val="000000"/>
              </w:rPr>
              <w:t>)</w:t>
            </w:r>
            <w:r>
              <w:rPr>
                <w:rFonts w:eastAsia="標楷體"/>
                <w:color w:val="000000"/>
              </w:rPr>
              <w:t>首次擔任總代理人應提供內部控制制度及內部控制制度審查表。</w:t>
            </w:r>
          </w:p>
          <w:p w14:paraId="061BE657" w14:textId="77777777" w:rsidR="009B023F" w:rsidRDefault="0075731A">
            <w:pPr>
              <w:snapToGrid w:val="0"/>
              <w:spacing w:before="120" w:after="120"/>
              <w:ind w:left="480" w:right="60" w:hanging="480"/>
              <w:jc w:val="both"/>
              <w:rPr>
                <w:rFonts w:eastAsia="標楷體"/>
                <w:color w:val="000000"/>
              </w:rPr>
            </w:pPr>
            <w:r>
              <w:rPr>
                <w:rFonts w:eastAsia="標楷體"/>
                <w:color w:val="000000"/>
              </w:rPr>
              <w:t>三、境外基金機構與總代理人簽訂之總代理契約，應載明同業公會所定應行記載事項。</w:t>
            </w:r>
            <w:r>
              <w:rPr>
                <w:rFonts w:eastAsia="標楷體"/>
                <w:color w:val="000000"/>
              </w:rPr>
              <w:t>(</w:t>
            </w:r>
            <w:r>
              <w:rPr>
                <w:rFonts w:eastAsia="標楷體"/>
                <w:color w:val="000000"/>
              </w:rPr>
              <w:t>前業經核准或申報生效募集及銷售同一境外基金管理機構管理之境外基金者，得</w:t>
            </w:r>
            <w:proofErr w:type="gramStart"/>
            <w:r>
              <w:rPr>
                <w:rFonts w:eastAsia="標楷體"/>
                <w:color w:val="000000"/>
              </w:rPr>
              <w:t>檢附異動</w:t>
            </w:r>
            <w:proofErr w:type="gramEnd"/>
            <w:r>
              <w:rPr>
                <w:rFonts w:eastAsia="標楷體"/>
                <w:color w:val="000000"/>
              </w:rPr>
              <w:t>之契約影本及其中譯本，若未有變更則於備註說明；</w:t>
            </w:r>
            <w:proofErr w:type="gramStart"/>
            <w:r>
              <w:rPr>
                <w:rFonts w:eastAsia="標楷體"/>
                <w:color w:val="000000"/>
              </w:rPr>
              <w:t>詳</w:t>
            </w:r>
            <w:proofErr w:type="gramEnd"/>
            <w:r>
              <w:rPr>
                <w:rFonts w:eastAsia="標楷體"/>
                <w:color w:val="000000"/>
              </w:rPr>
              <w:t>填表注意事項</w:t>
            </w:r>
            <w:r>
              <w:rPr>
                <w:rFonts w:eastAsia="標楷體"/>
                <w:color w:val="000000"/>
              </w:rPr>
              <w:t>)</w:t>
            </w:r>
          </w:p>
          <w:p w14:paraId="77603A85" w14:textId="77777777" w:rsidR="009B023F" w:rsidRDefault="0075731A">
            <w:pPr>
              <w:snapToGrid w:val="0"/>
              <w:spacing w:before="120" w:after="120"/>
              <w:ind w:left="480" w:right="60" w:hanging="480"/>
              <w:jc w:val="both"/>
              <w:rPr>
                <w:rFonts w:eastAsia="標楷體"/>
                <w:color w:val="000000"/>
              </w:rPr>
            </w:pPr>
            <w:r>
              <w:rPr>
                <w:rFonts w:eastAsia="標楷體"/>
                <w:color w:val="000000"/>
              </w:rPr>
              <w:t>四、境外基金機構與總代理人簽訂之人員培訓計畫：</w:t>
            </w:r>
          </w:p>
          <w:p w14:paraId="41B1F2E2" w14:textId="77777777" w:rsidR="009B023F" w:rsidRDefault="0075731A">
            <w:pPr>
              <w:snapToGrid w:val="0"/>
              <w:spacing w:before="120" w:after="120"/>
              <w:ind w:left="720" w:right="6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檢附境外基金機構與總代理人簽訂之人員培訓計畫應符合同業公會所定計畫要點之規定。</w:t>
            </w:r>
            <w:r>
              <w:rPr>
                <w:rFonts w:eastAsia="標楷體"/>
                <w:color w:val="000000"/>
              </w:rPr>
              <w:t>(</w:t>
            </w:r>
            <w:r>
              <w:rPr>
                <w:rFonts w:eastAsia="標楷體"/>
                <w:color w:val="000000"/>
              </w:rPr>
              <w:t>前業經核准或申報生效募集及銷售同一境外基金管理機構管理之境外基金者，得</w:t>
            </w:r>
            <w:proofErr w:type="gramStart"/>
            <w:r>
              <w:rPr>
                <w:rFonts w:eastAsia="標楷體"/>
                <w:color w:val="000000"/>
              </w:rPr>
              <w:t>檢附異動</w:t>
            </w:r>
            <w:proofErr w:type="gramEnd"/>
            <w:r>
              <w:rPr>
                <w:rFonts w:eastAsia="標楷體"/>
                <w:color w:val="000000"/>
              </w:rPr>
              <w:t>之契約影本及其中譯本，若未有變更則於備註說明；</w:t>
            </w:r>
            <w:proofErr w:type="gramStart"/>
            <w:r>
              <w:rPr>
                <w:rFonts w:eastAsia="標楷體"/>
                <w:color w:val="000000"/>
              </w:rPr>
              <w:t>詳</w:t>
            </w:r>
            <w:proofErr w:type="gramEnd"/>
            <w:r>
              <w:rPr>
                <w:rFonts w:eastAsia="標楷體"/>
                <w:color w:val="000000"/>
              </w:rPr>
              <w:t>填表注意事項</w:t>
            </w:r>
            <w:r>
              <w:rPr>
                <w:rFonts w:eastAsia="標楷體"/>
                <w:color w:val="000000"/>
              </w:rPr>
              <w:t>)</w:t>
            </w:r>
          </w:p>
          <w:p w14:paraId="62BF9799" w14:textId="77777777" w:rsidR="009B023F" w:rsidRDefault="0075731A">
            <w:pPr>
              <w:snapToGrid w:val="0"/>
              <w:spacing w:before="120" w:after="120"/>
              <w:ind w:left="720" w:right="6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公司內部稽核出具與境外基金機構簽訂之人員培訓計畫最近一年查核執行狀況符合同業公會所定計畫要點規定之聲明書。倘最近一年查核執行狀況未符合規定，應敘明改善計畫或追蹤改善情形。內部稽核出具之聲明書應至少包含下列內容：</w:t>
            </w:r>
          </w:p>
          <w:p w14:paraId="6B27BE11" w14:textId="77777777" w:rsidR="009B023F" w:rsidRDefault="0075731A">
            <w:pPr>
              <w:snapToGrid w:val="0"/>
              <w:spacing w:before="120" w:after="120"/>
              <w:ind w:left="900" w:right="60" w:hanging="180"/>
              <w:jc w:val="both"/>
              <w:rPr>
                <w:rFonts w:eastAsia="標楷體"/>
                <w:color w:val="000000"/>
              </w:rPr>
            </w:pPr>
            <w:r>
              <w:rPr>
                <w:rFonts w:eastAsia="標楷體"/>
                <w:color w:val="000000"/>
              </w:rPr>
              <w:t>1.</w:t>
            </w:r>
            <w:r>
              <w:rPr>
                <w:rFonts w:eastAsia="標楷體"/>
                <w:color w:val="000000"/>
              </w:rPr>
              <w:t>擇要節錄總代理人與境外基金機構簽訂之人員培訓計畫內容。</w:t>
            </w:r>
          </w:p>
          <w:p w14:paraId="6EB38B2F" w14:textId="77777777" w:rsidR="009B023F" w:rsidRDefault="0075731A">
            <w:pPr>
              <w:snapToGrid w:val="0"/>
              <w:spacing w:before="120" w:after="120"/>
              <w:ind w:left="900" w:right="60" w:hanging="180"/>
              <w:jc w:val="both"/>
              <w:rPr>
                <w:rFonts w:eastAsia="標楷體"/>
                <w:color w:val="000000"/>
              </w:rPr>
            </w:pPr>
            <w:r>
              <w:rPr>
                <w:rFonts w:eastAsia="標楷體"/>
                <w:color w:val="000000"/>
              </w:rPr>
              <w:t>2.</w:t>
            </w:r>
            <w:r>
              <w:rPr>
                <w:rFonts w:eastAsia="標楷體"/>
                <w:color w:val="000000"/>
              </w:rPr>
              <w:t>查核執行狀況，包含但不限於：</w:t>
            </w:r>
          </w:p>
          <w:p w14:paraId="78EF7166" w14:textId="77777777" w:rsidR="009B023F" w:rsidRDefault="0075731A">
            <w:pPr>
              <w:snapToGrid w:val="0"/>
              <w:ind w:left="1135" w:hanging="284"/>
              <w:jc w:val="both"/>
              <w:rPr>
                <w:rFonts w:eastAsia="標楷體"/>
              </w:rPr>
            </w:pPr>
            <w:r>
              <w:rPr>
                <w:rFonts w:eastAsia="標楷體"/>
              </w:rPr>
              <w:lastRenderedPageBreak/>
              <w:t>(1)</w:t>
            </w:r>
            <w:r>
              <w:rPr>
                <w:rFonts w:eastAsia="標楷體"/>
              </w:rPr>
              <w:t>境外基金業務之產品分析人員與業務人員是否符合人員培訓計畫所訂之最低培訓時數。</w:t>
            </w:r>
          </w:p>
          <w:p w14:paraId="14DE427B" w14:textId="77777777" w:rsidR="009B023F" w:rsidRDefault="0075731A">
            <w:pPr>
              <w:snapToGrid w:val="0"/>
              <w:ind w:left="1135" w:hanging="284"/>
              <w:jc w:val="both"/>
              <w:rPr>
                <w:rFonts w:eastAsia="標楷體"/>
              </w:rPr>
            </w:pPr>
            <w:r>
              <w:rPr>
                <w:rFonts w:eastAsia="標楷體"/>
              </w:rPr>
              <w:t>(2)</w:t>
            </w:r>
            <w:r>
              <w:rPr>
                <w:rFonts w:eastAsia="標楷體"/>
              </w:rPr>
              <w:t>產品分析人員實地參訪之訓練方式，及其培訓之次數、時數及內容不得低於其他境外基金業務人員之培訓要求。</w:t>
            </w:r>
          </w:p>
          <w:p w14:paraId="2DA915DE" w14:textId="77777777" w:rsidR="009B023F" w:rsidRDefault="0075731A">
            <w:pPr>
              <w:snapToGrid w:val="0"/>
              <w:spacing w:before="120" w:after="120"/>
              <w:ind w:left="480" w:right="60" w:hanging="480"/>
              <w:jc w:val="both"/>
              <w:rPr>
                <w:rFonts w:eastAsia="標楷體"/>
                <w:color w:val="000000"/>
              </w:rPr>
            </w:pPr>
            <w:r>
              <w:rPr>
                <w:rFonts w:eastAsia="標楷體"/>
                <w:color w:val="000000"/>
              </w:rPr>
              <w:t>五、總代理人依規定提存營業保證金之證明文件：</w:t>
            </w:r>
          </w:p>
          <w:p w14:paraId="4AB8AD6E" w14:textId="77777777" w:rsidR="009B023F" w:rsidRDefault="0075731A">
            <w:pPr>
              <w:snapToGrid w:val="0"/>
              <w:spacing w:before="120" w:after="120"/>
              <w:ind w:left="720" w:right="6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依境外基金管理辦法第十條第一項規定提存足額之營業保證金，且提存於同一金融機構。</w:t>
            </w:r>
          </w:p>
          <w:p w14:paraId="29E22F40" w14:textId="77777777" w:rsidR="009B023F" w:rsidRDefault="0075731A">
            <w:pPr>
              <w:snapToGrid w:val="0"/>
              <w:spacing w:before="120" w:after="120"/>
              <w:ind w:left="900" w:right="60" w:hanging="180"/>
              <w:jc w:val="both"/>
              <w:rPr>
                <w:rFonts w:eastAsia="標楷體"/>
                <w:color w:val="000000"/>
              </w:rPr>
            </w:pPr>
            <w:r>
              <w:rPr>
                <w:rFonts w:eastAsia="標楷體"/>
                <w:color w:val="000000"/>
              </w:rPr>
              <w:t>1.</w:t>
            </w:r>
            <w:r>
              <w:rPr>
                <w:rFonts w:eastAsia="標楷體"/>
                <w:color w:val="000000"/>
              </w:rPr>
              <w:t>擔任</w:t>
            </w:r>
            <w:r>
              <w:rPr>
                <w:rFonts w:eastAsia="標楷體"/>
                <w:color w:val="000000"/>
              </w:rPr>
              <w:t xml:space="preserve">      </w:t>
            </w:r>
            <w:r>
              <w:rPr>
                <w:rFonts w:eastAsia="標楷體"/>
                <w:color w:val="000000"/>
              </w:rPr>
              <w:t>家境外基金管理機構所管理基金之總代理人。</w:t>
            </w:r>
          </w:p>
          <w:p w14:paraId="653B7F5E" w14:textId="77777777" w:rsidR="009B023F" w:rsidRDefault="0075731A">
            <w:pPr>
              <w:snapToGrid w:val="0"/>
              <w:spacing w:before="120" w:after="120"/>
              <w:ind w:left="900" w:right="60" w:hanging="180"/>
              <w:jc w:val="both"/>
              <w:rPr>
                <w:rFonts w:eastAsia="標楷體"/>
                <w:color w:val="000000"/>
              </w:rPr>
            </w:pPr>
            <w:r>
              <w:rPr>
                <w:rFonts w:eastAsia="標楷體"/>
                <w:color w:val="000000"/>
              </w:rPr>
              <w:t>2.</w:t>
            </w:r>
            <w:r>
              <w:rPr>
                <w:rFonts w:eastAsia="標楷體"/>
                <w:color w:val="000000"/>
              </w:rPr>
              <w:t>提存營業保證金金額（所代理之境外基金管理機構屬同一集團者，得按單一集團計算應提存之金額，並應加附集團組織圖）：</w:t>
            </w:r>
          </w:p>
          <w:p w14:paraId="3692202D" w14:textId="77777777" w:rsidR="009B023F" w:rsidRDefault="0075731A">
            <w:pPr>
              <w:snapToGrid w:val="0"/>
              <w:spacing w:before="120" w:after="120"/>
              <w:ind w:left="540" w:hanging="12"/>
            </w:pPr>
            <w:r>
              <w:rPr>
                <w:rFonts w:eastAsia="標楷體"/>
                <w:color w:val="000000"/>
              </w:rPr>
              <w:t xml:space="preserve">      </w:t>
            </w:r>
            <w:r>
              <w:rPr>
                <w:rFonts w:eastAsia="標楷體"/>
                <w:color w:val="000000"/>
              </w:rPr>
              <w:t>新臺幣</w:t>
            </w:r>
            <w:r>
              <w:rPr>
                <w:rFonts w:eastAsia="標楷體"/>
                <w:color w:val="000000"/>
                <w:u w:val="single"/>
              </w:rPr>
              <w:t xml:space="preserve">                      </w:t>
            </w:r>
            <w:r>
              <w:rPr>
                <w:rFonts w:eastAsia="標楷體"/>
                <w:color w:val="000000"/>
              </w:rPr>
              <w:t>元。</w:t>
            </w:r>
          </w:p>
          <w:p w14:paraId="1EE92ED3" w14:textId="77777777" w:rsidR="009B023F" w:rsidRDefault="0075731A">
            <w:pPr>
              <w:snapToGrid w:val="0"/>
              <w:spacing w:before="120" w:after="120"/>
              <w:ind w:left="900" w:right="60" w:hanging="180"/>
              <w:jc w:val="both"/>
              <w:rPr>
                <w:rFonts w:eastAsia="標楷體"/>
                <w:color w:val="000000"/>
              </w:rPr>
            </w:pPr>
            <w:r>
              <w:rPr>
                <w:rFonts w:eastAsia="標楷體"/>
                <w:color w:val="000000"/>
              </w:rPr>
              <w:t>3.</w:t>
            </w:r>
            <w:r>
              <w:rPr>
                <w:rFonts w:eastAsia="標楷體"/>
                <w:color w:val="000000"/>
              </w:rPr>
              <w:t>提存金融機構名稱：</w:t>
            </w:r>
          </w:p>
          <w:p w14:paraId="72B60B46" w14:textId="77777777" w:rsidR="009B023F" w:rsidRDefault="0075731A">
            <w:pPr>
              <w:snapToGrid w:val="0"/>
              <w:spacing w:before="120" w:after="120"/>
              <w:ind w:left="570" w:hanging="90"/>
              <w:jc w:val="both"/>
            </w:pPr>
            <w:r>
              <w:rPr>
                <w:rFonts w:eastAsia="標楷體"/>
                <w:color w:val="000000"/>
              </w:rPr>
              <w:t xml:space="preserve">        </w:t>
            </w:r>
            <w:r>
              <w:rPr>
                <w:rFonts w:eastAsia="標楷體"/>
                <w:color w:val="000000"/>
                <w:u w:val="single"/>
              </w:rPr>
              <w:t xml:space="preserve">                             </w:t>
            </w:r>
            <w:r>
              <w:rPr>
                <w:rFonts w:eastAsia="標楷體"/>
                <w:color w:val="000000"/>
              </w:rPr>
              <w:t>。</w:t>
            </w:r>
          </w:p>
          <w:p w14:paraId="4CDB663A" w14:textId="77777777" w:rsidR="009B023F" w:rsidRDefault="0075731A">
            <w:pPr>
              <w:snapToGrid w:val="0"/>
              <w:spacing w:before="120" w:after="120"/>
              <w:ind w:left="720" w:right="6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提存金融機構符合境外基金管理辦法第十條第一項規定之資格條件。</w:t>
            </w:r>
          </w:p>
          <w:p w14:paraId="17EDAB32" w14:textId="77777777" w:rsidR="009B023F" w:rsidRDefault="0075731A">
            <w:pPr>
              <w:snapToGrid w:val="0"/>
              <w:spacing w:before="120" w:after="120"/>
              <w:ind w:left="720" w:right="60" w:hanging="420"/>
              <w:jc w:val="both"/>
              <w:rPr>
                <w:rFonts w:eastAsia="標楷體"/>
                <w:color w:val="000000"/>
              </w:rPr>
            </w:pPr>
            <w:r>
              <w:rPr>
                <w:rFonts w:eastAsia="標楷體"/>
                <w:color w:val="000000"/>
              </w:rPr>
              <w:t>(</w:t>
            </w:r>
            <w:r>
              <w:rPr>
                <w:rFonts w:eastAsia="標楷體"/>
                <w:color w:val="000000"/>
              </w:rPr>
              <w:t>三</w:t>
            </w:r>
            <w:r>
              <w:rPr>
                <w:rFonts w:eastAsia="標楷體"/>
                <w:color w:val="000000"/>
              </w:rPr>
              <w:t>)</w:t>
            </w:r>
            <w:r>
              <w:rPr>
                <w:rFonts w:eastAsia="標楷體"/>
                <w:color w:val="000000"/>
              </w:rPr>
              <w:t>與提存金融機構簽訂之營業保證金保管契約內容，應載明同業公會所定要點之應記載事項。</w:t>
            </w:r>
          </w:p>
          <w:p w14:paraId="13CD54C4" w14:textId="77777777" w:rsidR="009B023F" w:rsidRDefault="0075731A">
            <w:pPr>
              <w:snapToGrid w:val="0"/>
              <w:spacing w:before="120" w:after="120"/>
              <w:ind w:left="480" w:right="60" w:hanging="480"/>
              <w:jc w:val="both"/>
            </w:pPr>
            <w:r>
              <w:rPr>
                <w:rFonts w:eastAsia="標楷體"/>
              </w:rPr>
              <w:t>六</w:t>
            </w:r>
            <w:r>
              <w:rPr>
                <w:rFonts w:eastAsia="標楷體"/>
                <w:color w:val="000000"/>
              </w:rPr>
              <w:t>、境外基金註冊地准予募集之證明文件。（以主管機關核發或出具之核准函文、經主管機關核准之公開說明書或相當文件認定）</w:t>
            </w:r>
          </w:p>
          <w:p w14:paraId="47398E23" w14:textId="77777777" w:rsidR="009B023F" w:rsidRDefault="0075731A">
            <w:pPr>
              <w:snapToGrid w:val="0"/>
              <w:spacing w:before="120" w:after="120"/>
              <w:ind w:left="480" w:hanging="480"/>
              <w:jc w:val="both"/>
            </w:pPr>
            <w:r>
              <w:rPr>
                <w:rFonts w:eastAsia="標楷體"/>
              </w:rPr>
              <w:t>七</w:t>
            </w:r>
            <w:r>
              <w:rPr>
                <w:rFonts w:eastAsia="標楷體"/>
                <w:color w:val="000000"/>
              </w:rPr>
              <w:t>、境外基金最近年度經會計師查核簽證之財務報告</w:t>
            </w:r>
            <w:r>
              <w:rPr>
                <w:rFonts w:eastAsia="標楷體"/>
                <w:color w:val="000000"/>
              </w:rPr>
              <w:t>(</w:t>
            </w:r>
            <w:r>
              <w:rPr>
                <w:rFonts w:eastAsia="標楷體"/>
                <w:color w:val="000000"/>
              </w:rPr>
              <w:t>得僅提供會計師查核報告以及與本次申報境外基金資訊之相關頁次</w:t>
            </w:r>
            <w:r>
              <w:rPr>
                <w:rFonts w:eastAsia="標楷體"/>
                <w:color w:val="000000"/>
              </w:rPr>
              <w:t>)</w:t>
            </w:r>
            <w:r>
              <w:rPr>
                <w:rFonts w:eastAsia="標楷體"/>
                <w:color w:val="000000"/>
              </w:rPr>
              <w:t>與其中文簡譯本：</w:t>
            </w:r>
          </w:p>
          <w:p w14:paraId="060EB1A1" w14:textId="77777777" w:rsidR="009B023F" w:rsidRDefault="0075731A">
            <w:pPr>
              <w:snapToGrid w:val="0"/>
              <w:spacing w:before="120" w:after="120"/>
              <w:ind w:left="720" w:right="6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會計師出具之查核意見為無保留意見。</w:t>
            </w:r>
          </w:p>
          <w:p w14:paraId="7CC129F4" w14:textId="77777777" w:rsidR="009B023F" w:rsidRDefault="0075731A">
            <w:pPr>
              <w:snapToGrid w:val="0"/>
              <w:spacing w:before="120" w:after="120"/>
              <w:ind w:left="720" w:right="6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會計師出具無保留意見以外之查核意見者，其原因：</w:t>
            </w:r>
          </w:p>
          <w:p w14:paraId="197365E3" w14:textId="77777777" w:rsidR="009B023F" w:rsidRDefault="0075731A">
            <w:pPr>
              <w:snapToGrid w:val="0"/>
              <w:spacing w:before="120" w:after="120"/>
              <w:ind w:left="449" w:hanging="12"/>
              <w:jc w:val="both"/>
            </w:pPr>
            <w:r>
              <w:rPr>
                <w:rFonts w:eastAsia="標楷體"/>
                <w:color w:val="000000"/>
              </w:rPr>
              <w:t xml:space="preserve">  </w:t>
            </w:r>
            <w:r>
              <w:rPr>
                <w:rFonts w:eastAsia="標楷體"/>
                <w:color w:val="000000"/>
                <w:u w:val="single"/>
              </w:rPr>
              <w:t xml:space="preserve">                            </w:t>
            </w:r>
            <w:r>
              <w:rPr>
                <w:rFonts w:eastAsia="標楷體"/>
                <w:color w:val="000000"/>
              </w:rPr>
              <w:t>。</w:t>
            </w:r>
          </w:p>
          <w:p w14:paraId="7B186CD5" w14:textId="77777777" w:rsidR="009B023F" w:rsidRDefault="0075731A">
            <w:pPr>
              <w:snapToGrid w:val="0"/>
              <w:spacing w:before="120" w:after="120"/>
              <w:ind w:left="480" w:hanging="480"/>
              <w:jc w:val="both"/>
            </w:pPr>
            <w:r>
              <w:rPr>
                <w:rFonts w:eastAsia="標楷體"/>
              </w:rPr>
              <w:lastRenderedPageBreak/>
              <w:t>八</w:t>
            </w:r>
            <w:r>
              <w:rPr>
                <w:rFonts w:eastAsia="標楷體"/>
                <w:color w:val="000000"/>
              </w:rPr>
              <w:t>、檢具境外基金於申報日前一季</w:t>
            </w:r>
            <w:proofErr w:type="gramStart"/>
            <w:r>
              <w:rPr>
                <w:rFonts w:eastAsia="標楷體"/>
                <w:color w:val="000000"/>
              </w:rPr>
              <w:t>季</w:t>
            </w:r>
            <w:proofErr w:type="gramEnd"/>
            <w:r>
              <w:rPr>
                <w:rFonts w:eastAsia="標楷體"/>
                <w:color w:val="000000"/>
              </w:rPr>
              <w:t>底之投資組合：</w:t>
            </w:r>
          </w:p>
          <w:p w14:paraId="7314307F"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內容須包括投資標的及其比率、基金主要投資國家別及投資資產類別，暨其相關投資金額占基金淨資產價值之比重。</w:t>
            </w:r>
          </w:p>
          <w:p w14:paraId="6895618F"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投資組合應符合下列規定：</w:t>
            </w:r>
          </w:p>
          <w:p w14:paraId="45CC9AAB" w14:textId="77777777" w:rsidR="009B023F" w:rsidRDefault="0075731A">
            <w:pPr>
              <w:snapToGrid w:val="0"/>
              <w:spacing w:before="120" w:after="120"/>
              <w:ind w:left="1140" w:right="60" w:hanging="180"/>
              <w:jc w:val="both"/>
              <w:rPr>
                <w:rFonts w:eastAsia="標楷體"/>
                <w:color w:val="000000"/>
              </w:rPr>
            </w:pPr>
            <w:r>
              <w:rPr>
                <w:rFonts w:eastAsia="標楷體"/>
                <w:color w:val="000000"/>
              </w:rPr>
              <w:t>1.</w:t>
            </w:r>
            <w:r>
              <w:rPr>
                <w:rFonts w:eastAsia="標楷體"/>
                <w:color w:val="000000"/>
              </w:rPr>
              <w:t>未投資於黃金、商品現貨及不動產。</w:t>
            </w:r>
          </w:p>
          <w:p w14:paraId="5556654A" w14:textId="77777777" w:rsidR="009B023F" w:rsidRDefault="0075731A">
            <w:pPr>
              <w:snapToGrid w:val="0"/>
              <w:spacing w:before="120" w:after="120"/>
              <w:ind w:left="1140" w:right="60" w:hanging="180"/>
              <w:jc w:val="both"/>
              <w:rPr>
                <w:rFonts w:eastAsia="標楷體"/>
                <w:color w:val="000000"/>
              </w:rPr>
            </w:pPr>
            <w:r>
              <w:rPr>
                <w:rFonts w:eastAsia="標楷體"/>
                <w:color w:val="000000"/>
              </w:rPr>
              <w:t>2.</w:t>
            </w:r>
            <w:r>
              <w:rPr>
                <w:rFonts w:eastAsia="標楷體"/>
                <w:color w:val="000000"/>
              </w:rPr>
              <w:t>投資於有價證券部分，如非投資單一國家者，該投資組合應包含各個國家之投資明細。</w:t>
            </w:r>
          </w:p>
          <w:p w14:paraId="6E78B98C" w14:textId="77777777" w:rsidR="009B023F" w:rsidRDefault="0075731A">
            <w:pPr>
              <w:snapToGrid w:val="0"/>
              <w:spacing w:before="120" w:after="120"/>
              <w:ind w:left="1140" w:right="60" w:hanging="180"/>
              <w:jc w:val="both"/>
              <w:rPr>
                <w:rFonts w:eastAsia="標楷體"/>
                <w:color w:val="000000"/>
              </w:rPr>
            </w:pPr>
            <w:r>
              <w:rPr>
                <w:rFonts w:eastAsia="標楷體"/>
                <w:color w:val="000000"/>
              </w:rPr>
              <w:t>3.</w:t>
            </w:r>
            <w:r>
              <w:rPr>
                <w:rFonts w:eastAsia="標楷體"/>
                <w:color w:val="000000"/>
              </w:rPr>
              <w:t>投資於境外基金管理辦法第二十三條第一項第三款所列之有價證券未超過金管會規定比率之證明文件。</w:t>
            </w:r>
          </w:p>
          <w:p w14:paraId="28731EC1" w14:textId="77777777" w:rsidR="009B023F" w:rsidRDefault="0075731A">
            <w:pPr>
              <w:snapToGrid w:val="0"/>
              <w:spacing w:before="120" w:after="120"/>
              <w:ind w:left="1140" w:right="60" w:hanging="180"/>
              <w:jc w:val="both"/>
              <w:rPr>
                <w:rFonts w:eastAsia="標楷體"/>
                <w:color w:val="000000"/>
              </w:rPr>
            </w:pPr>
            <w:r>
              <w:rPr>
                <w:rFonts w:eastAsia="標楷體"/>
                <w:color w:val="000000"/>
              </w:rPr>
              <w:t>4.</w:t>
            </w:r>
            <w:r>
              <w:rPr>
                <w:rFonts w:eastAsia="標楷體"/>
                <w:color w:val="000000"/>
              </w:rPr>
              <w:t>投資於中華民國證券市場未逾金管會規定之比率。</w:t>
            </w:r>
          </w:p>
          <w:p w14:paraId="636FA55B"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三</w:t>
            </w:r>
            <w:r>
              <w:rPr>
                <w:rFonts w:eastAsia="標楷體"/>
                <w:color w:val="000000"/>
              </w:rPr>
              <w:t>)</w:t>
            </w:r>
            <w:r>
              <w:rPr>
                <w:rFonts w:eastAsia="標楷體"/>
                <w:color w:val="000000"/>
              </w:rPr>
              <w:t>境外基金機構符合金管會鼓勵境外基金深耕計畫所訂條件獲金管會認可，並選擇「符合境外基金管理辦法之範圍內，允許引進新類型的境外基金」之優惠措施者，應具體說明該基金之投資標的或比率與現行投資規範不符之處。</w:t>
            </w:r>
          </w:p>
          <w:p w14:paraId="4D278CB1" w14:textId="77777777" w:rsidR="009B023F" w:rsidRDefault="0075731A">
            <w:pPr>
              <w:snapToGrid w:val="0"/>
              <w:spacing w:before="120" w:after="120"/>
              <w:ind w:left="692" w:right="60" w:hanging="692"/>
              <w:jc w:val="both"/>
              <w:rPr>
                <w:rFonts w:eastAsia="標楷體"/>
                <w:color w:val="000000"/>
              </w:rPr>
            </w:pPr>
            <w:r>
              <w:rPr>
                <w:rFonts w:eastAsia="標楷體"/>
                <w:color w:val="000000"/>
              </w:rPr>
              <w:t>九、投資人須知載明下列事項：</w:t>
            </w:r>
          </w:p>
          <w:p w14:paraId="014D4D14" w14:textId="77777777" w:rsidR="009B023F" w:rsidRDefault="0075731A">
            <w:pPr>
              <w:snapToGrid w:val="0"/>
              <w:spacing w:before="120" w:after="120"/>
              <w:ind w:left="720" w:hanging="720"/>
              <w:jc w:val="both"/>
              <w:rPr>
                <w:rFonts w:eastAsia="標楷體"/>
                <w:color w:val="000000"/>
              </w:rPr>
            </w:pPr>
            <w:proofErr w:type="gramStart"/>
            <w:r>
              <w:rPr>
                <w:rFonts w:eastAsia="標楷體"/>
                <w:color w:val="000000"/>
              </w:rPr>
              <w:t>【</w:t>
            </w:r>
            <w:proofErr w:type="gramEnd"/>
            <w:r>
              <w:rPr>
                <w:rFonts w:eastAsia="標楷體"/>
                <w:color w:val="000000"/>
              </w:rPr>
              <w:t>第一部分：基金專屬資訊</w:t>
            </w:r>
            <w:proofErr w:type="gramStart"/>
            <w:r>
              <w:rPr>
                <w:rFonts w:eastAsia="標楷體"/>
                <w:color w:val="000000"/>
              </w:rPr>
              <w:t>】</w:t>
            </w:r>
            <w:proofErr w:type="gramEnd"/>
          </w:p>
          <w:p w14:paraId="0D92A587"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基本資料。</w:t>
            </w:r>
          </w:p>
          <w:p w14:paraId="4DE4D46E"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基金投資標的與策略（簡介）。</w:t>
            </w:r>
          </w:p>
          <w:p w14:paraId="5EB661A1" w14:textId="77777777" w:rsidR="009B023F" w:rsidRDefault="0075731A">
            <w:pPr>
              <w:snapToGrid w:val="0"/>
              <w:spacing w:before="120" w:after="120"/>
              <w:ind w:left="1140" w:right="60" w:hanging="180"/>
              <w:jc w:val="both"/>
              <w:rPr>
                <w:rFonts w:eastAsia="標楷體"/>
                <w:color w:val="000000"/>
              </w:rPr>
            </w:pPr>
            <w:r>
              <w:rPr>
                <w:rFonts w:eastAsia="標楷體"/>
                <w:color w:val="000000"/>
              </w:rPr>
              <w:t>1.</w:t>
            </w:r>
            <w:r>
              <w:rPr>
                <w:rFonts w:eastAsia="標楷體"/>
                <w:color w:val="000000"/>
              </w:rPr>
              <w:t>投資標的。</w:t>
            </w:r>
          </w:p>
          <w:p w14:paraId="15CC4198" w14:textId="77777777" w:rsidR="009B023F" w:rsidRDefault="0075731A">
            <w:pPr>
              <w:snapToGrid w:val="0"/>
              <w:spacing w:before="120" w:after="120"/>
              <w:ind w:left="1140" w:right="60" w:hanging="180"/>
              <w:jc w:val="both"/>
              <w:rPr>
                <w:rFonts w:eastAsia="標楷體"/>
                <w:color w:val="000000"/>
              </w:rPr>
            </w:pPr>
            <w:r>
              <w:rPr>
                <w:rFonts w:eastAsia="標楷體"/>
                <w:color w:val="000000"/>
              </w:rPr>
              <w:t>2.</w:t>
            </w:r>
            <w:r>
              <w:rPr>
                <w:rFonts w:eastAsia="標楷體"/>
                <w:color w:val="000000"/>
              </w:rPr>
              <w:t>投資策略。</w:t>
            </w:r>
          </w:p>
          <w:p w14:paraId="57FD3178"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三</w:t>
            </w:r>
            <w:r>
              <w:rPr>
                <w:rFonts w:eastAsia="標楷體"/>
                <w:color w:val="000000"/>
              </w:rPr>
              <w:t>)</w:t>
            </w:r>
            <w:r>
              <w:rPr>
                <w:rFonts w:eastAsia="標楷體"/>
                <w:color w:val="000000"/>
              </w:rPr>
              <w:t>投資本基金之主要風險。</w:t>
            </w:r>
          </w:p>
          <w:p w14:paraId="275FACDA"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四</w:t>
            </w:r>
            <w:r>
              <w:rPr>
                <w:rFonts w:eastAsia="標楷體"/>
                <w:color w:val="000000"/>
              </w:rPr>
              <w:t>)</w:t>
            </w:r>
            <w:r>
              <w:rPr>
                <w:rFonts w:eastAsia="標楷體"/>
                <w:color w:val="000000"/>
              </w:rPr>
              <w:t>本基金適合之投資人屬性分析。</w:t>
            </w:r>
          </w:p>
          <w:p w14:paraId="1C76DC06"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五</w:t>
            </w:r>
            <w:r>
              <w:rPr>
                <w:rFonts w:eastAsia="標楷體"/>
                <w:color w:val="000000"/>
              </w:rPr>
              <w:t>)</w:t>
            </w:r>
            <w:r>
              <w:rPr>
                <w:rFonts w:eastAsia="標楷體"/>
                <w:color w:val="000000"/>
              </w:rPr>
              <w:t>基金運用狀況。</w:t>
            </w:r>
          </w:p>
          <w:p w14:paraId="16E387D5" w14:textId="77777777" w:rsidR="009B023F" w:rsidRDefault="0075731A">
            <w:pPr>
              <w:snapToGrid w:val="0"/>
              <w:spacing w:before="120" w:after="120"/>
              <w:ind w:left="1140" w:right="60" w:hanging="180"/>
              <w:jc w:val="both"/>
              <w:rPr>
                <w:rFonts w:eastAsia="標楷體"/>
                <w:color w:val="000000"/>
              </w:rPr>
            </w:pPr>
            <w:r>
              <w:rPr>
                <w:rFonts w:eastAsia="標楷體"/>
                <w:color w:val="000000"/>
              </w:rPr>
              <w:t>1.</w:t>
            </w:r>
            <w:r>
              <w:rPr>
                <w:rFonts w:eastAsia="標楷體"/>
                <w:color w:val="000000"/>
              </w:rPr>
              <w:t>基金淨資產組成。</w:t>
            </w:r>
          </w:p>
          <w:p w14:paraId="31DEABF4" w14:textId="77777777" w:rsidR="009B023F" w:rsidRDefault="0075731A">
            <w:pPr>
              <w:snapToGrid w:val="0"/>
              <w:spacing w:before="120" w:after="120"/>
              <w:ind w:left="1140" w:right="60" w:hanging="180"/>
              <w:jc w:val="both"/>
              <w:rPr>
                <w:rFonts w:eastAsia="標楷體"/>
                <w:color w:val="000000"/>
              </w:rPr>
            </w:pPr>
            <w:r>
              <w:rPr>
                <w:rFonts w:eastAsia="標楷體"/>
                <w:color w:val="000000"/>
              </w:rPr>
              <w:t>2.</w:t>
            </w:r>
            <w:r>
              <w:rPr>
                <w:rFonts w:eastAsia="標楷體"/>
                <w:color w:val="000000"/>
              </w:rPr>
              <w:t>最近</w:t>
            </w:r>
            <w:proofErr w:type="gramStart"/>
            <w:r>
              <w:rPr>
                <w:rFonts w:eastAsia="標楷體"/>
                <w:color w:val="000000"/>
              </w:rPr>
              <w:t>十</w:t>
            </w:r>
            <w:proofErr w:type="gramEnd"/>
            <w:r>
              <w:rPr>
                <w:rFonts w:eastAsia="標楷體"/>
                <w:color w:val="000000"/>
              </w:rPr>
              <w:t>年度基金淨值走勢圖。</w:t>
            </w:r>
          </w:p>
          <w:p w14:paraId="4677849C" w14:textId="77777777" w:rsidR="009B023F" w:rsidRDefault="0075731A">
            <w:pPr>
              <w:snapToGrid w:val="0"/>
              <w:spacing w:before="120" w:after="120"/>
              <w:ind w:left="1140" w:right="60" w:hanging="180"/>
              <w:jc w:val="both"/>
              <w:rPr>
                <w:rFonts w:eastAsia="標楷體"/>
                <w:color w:val="000000"/>
              </w:rPr>
            </w:pPr>
            <w:r>
              <w:rPr>
                <w:rFonts w:eastAsia="標楷體"/>
                <w:color w:val="000000"/>
              </w:rPr>
              <w:t>3.</w:t>
            </w:r>
            <w:r>
              <w:rPr>
                <w:rFonts w:eastAsia="標楷體"/>
                <w:color w:val="000000"/>
              </w:rPr>
              <w:t>最近</w:t>
            </w:r>
            <w:proofErr w:type="gramStart"/>
            <w:r>
              <w:rPr>
                <w:rFonts w:eastAsia="標楷體"/>
                <w:color w:val="000000"/>
              </w:rPr>
              <w:t>十</w:t>
            </w:r>
            <w:proofErr w:type="gramEnd"/>
            <w:r>
              <w:rPr>
                <w:rFonts w:eastAsia="標楷體"/>
                <w:color w:val="000000"/>
              </w:rPr>
              <w:t>年度各年度基金報酬率。</w:t>
            </w:r>
          </w:p>
          <w:p w14:paraId="72272DC2" w14:textId="77777777" w:rsidR="009B023F" w:rsidRDefault="0075731A">
            <w:pPr>
              <w:snapToGrid w:val="0"/>
              <w:spacing w:before="120" w:after="120"/>
              <w:ind w:left="1140" w:right="60" w:hanging="180"/>
              <w:jc w:val="both"/>
              <w:rPr>
                <w:rFonts w:eastAsia="標楷體"/>
                <w:color w:val="000000"/>
              </w:rPr>
            </w:pPr>
            <w:r>
              <w:rPr>
                <w:rFonts w:eastAsia="標楷體"/>
                <w:color w:val="000000"/>
              </w:rPr>
              <w:lastRenderedPageBreak/>
              <w:t>4.</w:t>
            </w:r>
            <w:r>
              <w:rPr>
                <w:rFonts w:eastAsia="標楷體"/>
                <w:color w:val="000000"/>
              </w:rPr>
              <w:t>基金累計報酬率。</w:t>
            </w:r>
          </w:p>
          <w:p w14:paraId="64136A8E" w14:textId="77777777" w:rsidR="009B023F" w:rsidRDefault="0075731A">
            <w:pPr>
              <w:snapToGrid w:val="0"/>
              <w:spacing w:before="120" w:after="120"/>
              <w:ind w:left="1140" w:right="60" w:hanging="180"/>
              <w:jc w:val="both"/>
              <w:rPr>
                <w:rFonts w:eastAsia="標楷體"/>
                <w:color w:val="000000"/>
              </w:rPr>
            </w:pPr>
            <w:r>
              <w:rPr>
                <w:rFonts w:eastAsia="標楷體"/>
                <w:color w:val="000000"/>
              </w:rPr>
              <w:t>5.</w:t>
            </w:r>
            <w:r>
              <w:rPr>
                <w:rFonts w:eastAsia="標楷體"/>
                <w:color w:val="000000"/>
              </w:rPr>
              <w:t>最近</w:t>
            </w:r>
            <w:proofErr w:type="gramStart"/>
            <w:r>
              <w:rPr>
                <w:rFonts w:eastAsia="標楷體"/>
                <w:color w:val="000000"/>
              </w:rPr>
              <w:t>十</w:t>
            </w:r>
            <w:proofErr w:type="gramEnd"/>
            <w:r>
              <w:rPr>
                <w:rFonts w:eastAsia="標楷體"/>
                <w:color w:val="000000"/>
              </w:rPr>
              <w:t>年度各年度每受益權單位收益分配之金額</w:t>
            </w:r>
            <w:r>
              <w:rPr>
                <w:rFonts w:eastAsia="標楷體"/>
                <w:color w:val="000000"/>
              </w:rPr>
              <w:t>/</w:t>
            </w:r>
            <w:r>
              <w:rPr>
                <w:rFonts w:eastAsia="標楷體"/>
                <w:color w:val="000000"/>
              </w:rPr>
              <w:t>幣別。</w:t>
            </w:r>
          </w:p>
          <w:p w14:paraId="57EBA5D2" w14:textId="77777777" w:rsidR="009B023F" w:rsidRDefault="0075731A">
            <w:pPr>
              <w:snapToGrid w:val="0"/>
              <w:spacing w:before="120" w:after="120"/>
              <w:ind w:left="1140" w:right="60" w:hanging="180"/>
              <w:jc w:val="both"/>
              <w:rPr>
                <w:rFonts w:eastAsia="標楷體"/>
                <w:color w:val="000000"/>
              </w:rPr>
            </w:pPr>
            <w:r>
              <w:rPr>
                <w:rFonts w:eastAsia="標楷體"/>
                <w:color w:val="000000"/>
              </w:rPr>
              <w:t>6.</w:t>
            </w:r>
            <w:r>
              <w:rPr>
                <w:rFonts w:eastAsia="標楷體"/>
                <w:color w:val="000000"/>
              </w:rPr>
              <w:t>最近</w:t>
            </w:r>
            <w:proofErr w:type="gramStart"/>
            <w:r>
              <w:rPr>
                <w:rFonts w:eastAsia="標楷體"/>
                <w:color w:val="000000"/>
              </w:rPr>
              <w:t>五</w:t>
            </w:r>
            <w:proofErr w:type="gramEnd"/>
            <w:r>
              <w:rPr>
                <w:rFonts w:eastAsia="標楷體"/>
                <w:color w:val="000000"/>
              </w:rPr>
              <w:t>年度各年度基金之費用率。</w:t>
            </w:r>
          </w:p>
          <w:p w14:paraId="06455A23" w14:textId="77777777" w:rsidR="009B023F" w:rsidRDefault="0075731A">
            <w:pPr>
              <w:snapToGrid w:val="0"/>
              <w:spacing w:before="120" w:after="120"/>
              <w:ind w:left="1140" w:right="60" w:hanging="180"/>
              <w:jc w:val="both"/>
              <w:rPr>
                <w:rFonts w:eastAsia="標楷體"/>
                <w:color w:val="000000"/>
              </w:rPr>
            </w:pPr>
            <w:r>
              <w:rPr>
                <w:rFonts w:eastAsia="標楷體"/>
                <w:color w:val="000000"/>
              </w:rPr>
              <w:t>7.</w:t>
            </w:r>
            <w:r>
              <w:rPr>
                <w:rFonts w:eastAsia="標楷體"/>
                <w:color w:val="000000"/>
              </w:rPr>
              <w:t>基金前十大投資標的及占基金淨資產價值之比率。</w:t>
            </w:r>
          </w:p>
          <w:p w14:paraId="2D9F92F5"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六</w:t>
            </w:r>
            <w:r>
              <w:rPr>
                <w:rFonts w:eastAsia="標楷體"/>
                <w:color w:val="000000"/>
              </w:rPr>
              <w:t>)</w:t>
            </w:r>
            <w:r>
              <w:rPr>
                <w:rFonts w:eastAsia="標楷體"/>
                <w:color w:val="000000"/>
              </w:rPr>
              <w:t>投資人應負擔費用之項目及其計算方式。</w:t>
            </w:r>
          </w:p>
          <w:p w14:paraId="5DD59B37"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七</w:t>
            </w:r>
            <w:r>
              <w:rPr>
                <w:rFonts w:eastAsia="標楷體"/>
                <w:color w:val="000000"/>
              </w:rPr>
              <w:t>)</w:t>
            </w:r>
            <w:r>
              <w:rPr>
                <w:rFonts w:eastAsia="標楷體"/>
                <w:color w:val="000000"/>
              </w:rPr>
              <w:t>受益人應負擔租稅之項目及其計算。</w:t>
            </w:r>
          </w:p>
          <w:p w14:paraId="66B0817E"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八</w:t>
            </w:r>
            <w:r>
              <w:rPr>
                <w:rFonts w:eastAsia="標楷體"/>
                <w:color w:val="000000"/>
              </w:rPr>
              <w:t>)</w:t>
            </w:r>
            <w:r>
              <w:rPr>
                <w:rFonts w:eastAsia="標楷體"/>
                <w:color w:val="000000"/>
              </w:rPr>
              <w:t>基金淨資產價值之公告時間及公告方式。</w:t>
            </w:r>
          </w:p>
          <w:p w14:paraId="1C64A9EC"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九</w:t>
            </w:r>
            <w:r>
              <w:rPr>
                <w:rFonts w:eastAsia="標楷體"/>
                <w:color w:val="000000"/>
              </w:rPr>
              <w:t>)</w:t>
            </w:r>
            <w:r>
              <w:rPr>
                <w:rFonts w:eastAsia="標楷體"/>
                <w:color w:val="000000"/>
              </w:rPr>
              <w:t>公開說明書中譯本之取得及境外基金相關資訊網址。</w:t>
            </w:r>
          </w:p>
          <w:p w14:paraId="5CD792D5"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十</w:t>
            </w:r>
            <w:r>
              <w:rPr>
                <w:rFonts w:eastAsia="標楷體"/>
                <w:color w:val="000000"/>
              </w:rPr>
              <w:t>)</w:t>
            </w:r>
            <w:r>
              <w:rPr>
                <w:rFonts w:eastAsia="標楷體"/>
                <w:color w:val="000000"/>
              </w:rPr>
              <w:t>其他</w:t>
            </w:r>
          </w:p>
          <w:p w14:paraId="5528D5E3" w14:textId="77777777" w:rsidR="009B023F" w:rsidRDefault="0075731A">
            <w:pPr>
              <w:snapToGrid w:val="0"/>
              <w:spacing w:before="120" w:after="120"/>
              <w:ind w:left="720" w:hanging="720"/>
              <w:jc w:val="both"/>
            </w:pPr>
            <w:r>
              <w:rPr>
                <w:rFonts w:eastAsia="標楷體"/>
                <w:color w:val="000000"/>
              </w:rPr>
              <w:t>【風險警語】</w:t>
            </w:r>
            <w:r>
              <w:rPr>
                <w:rFonts w:eastAsia="標楷體"/>
                <w:color w:val="000000"/>
                <w:sz w:val="32"/>
                <w:szCs w:val="32"/>
                <w:vertAlign w:val="superscript"/>
              </w:rPr>
              <w:t>※</w:t>
            </w:r>
          </w:p>
          <w:p w14:paraId="1AA23D82" w14:textId="77777777" w:rsidR="009B023F" w:rsidRDefault="0075731A">
            <w:pPr>
              <w:snapToGrid w:val="0"/>
              <w:spacing w:before="120" w:after="120"/>
              <w:ind w:left="720" w:hanging="720"/>
              <w:jc w:val="both"/>
              <w:rPr>
                <w:rFonts w:eastAsia="標楷體"/>
                <w:color w:val="000000"/>
              </w:rPr>
            </w:pPr>
            <w:proofErr w:type="gramStart"/>
            <w:r>
              <w:rPr>
                <w:rFonts w:eastAsia="標楷體"/>
                <w:color w:val="000000"/>
              </w:rPr>
              <w:t>【</w:t>
            </w:r>
            <w:proofErr w:type="gramEnd"/>
            <w:r>
              <w:rPr>
                <w:rFonts w:eastAsia="標楷體"/>
                <w:color w:val="000000"/>
              </w:rPr>
              <w:t>第二部分：一般資訊</w:t>
            </w:r>
            <w:proofErr w:type="gramStart"/>
            <w:r>
              <w:rPr>
                <w:rFonts w:eastAsia="標楷體"/>
                <w:color w:val="000000"/>
              </w:rPr>
              <w:t>】</w:t>
            </w:r>
            <w:proofErr w:type="gramEnd"/>
          </w:p>
          <w:p w14:paraId="5D1E681C"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總代理人、境外基金發行機構、管理機構、保管機構、總分銷機構及其他相關機構之說明；如為關係人者，應說明其關係。</w:t>
            </w:r>
          </w:p>
          <w:p w14:paraId="728CE9BD"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申購、買回及轉換境外基金之方式：</w:t>
            </w:r>
          </w:p>
          <w:p w14:paraId="22EFE342" w14:textId="77777777" w:rsidR="009B023F" w:rsidRDefault="0075731A">
            <w:pPr>
              <w:snapToGrid w:val="0"/>
              <w:spacing w:before="120" w:after="120"/>
              <w:ind w:left="1140" w:right="60" w:hanging="180"/>
              <w:jc w:val="both"/>
              <w:rPr>
                <w:rFonts w:eastAsia="標楷體"/>
                <w:color w:val="000000"/>
              </w:rPr>
            </w:pPr>
            <w:r>
              <w:rPr>
                <w:rFonts w:eastAsia="標楷體"/>
                <w:color w:val="000000"/>
              </w:rPr>
              <w:t>1.</w:t>
            </w:r>
            <w:r>
              <w:rPr>
                <w:rFonts w:eastAsia="標楷體"/>
                <w:color w:val="000000"/>
              </w:rPr>
              <w:t>最低申購金額。</w:t>
            </w:r>
          </w:p>
          <w:p w14:paraId="67EE2E85" w14:textId="77777777" w:rsidR="009B023F" w:rsidRDefault="0075731A">
            <w:pPr>
              <w:snapToGrid w:val="0"/>
              <w:spacing w:before="120" w:after="120"/>
              <w:ind w:left="1140" w:right="60" w:hanging="180"/>
              <w:jc w:val="both"/>
              <w:rPr>
                <w:rFonts w:eastAsia="標楷體"/>
                <w:color w:val="000000"/>
              </w:rPr>
            </w:pPr>
            <w:r>
              <w:rPr>
                <w:rFonts w:eastAsia="標楷體"/>
                <w:color w:val="000000"/>
              </w:rPr>
              <w:t>2.</w:t>
            </w:r>
            <w:r>
              <w:rPr>
                <w:rFonts w:eastAsia="標楷體"/>
                <w:color w:val="000000"/>
              </w:rPr>
              <w:t>價金給付方式。</w:t>
            </w:r>
          </w:p>
          <w:p w14:paraId="377B9276" w14:textId="77777777" w:rsidR="009B023F" w:rsidRDefault="0075731A">
            <w:pPr>
              <w:snapToGrid w:val="0"/>
              <w:spacing w:before="120" w:after="120"/>
              <w:ind w:left="1140" w:right="60" w:hanging="180"/>
              <w:jc w:val="both"/>
              <w:rPr>
                <w:rFonts w:eastAsia="標楷體"/>
                <w:color w:val="000000"/>
              </w:rPr>
            </w:pPr>
            <w:r>
              <w:rPr>
                <w:rFonts w:eastAsia="標楷體"/>
                <w:color w:val="000000"/>
              </w:rPr>
              <w:t>3.</w:t>
            </w:r>
            <w:r>
              <w:rPr>
                <w:rFonts w:eastAsia="標楷體"/>
                <w:color w:val="000000"/>
              </w:rPr>
              <w:t>每營業日受理申請截止時間，及對逾時申請文件之認定及處理方式。</w:t>
            </w:r>
          </w:p>
          <w:p w14:paraId="1AAE9329" w14:textId="77777777" w:rsidR="009B023F" w:rsidRDefault="0075731A">
            <w:pPr>
              <w:snapToGrid w:val="0"/>
              <w:spacing w:before="120" w:after="120"/>
              <w:ind w:left="1140" w:right="60" w:hanging="180"/>
              <w:jc w:val="both"/>
              <w:rPr>
                <w:rFonts w:eastAsia="標楷體"/>
                <w:color w:val="000000"/>
              </w:rPr>
            </w:pPr>
            <w:r>
              <w:rPr>
                <w:rFonts w:eastAsia="標楷體"/>
                <w:color w:val="000000"/>
              </w:rPr>
              <w:t>4.</w:t>
            </w:r>
            <w:r>
              <w:rPr>
                <w:rFonts w:eastAsia="標楷體"/>
                <w:color w:val="000000"/>
              </w:rPr>
              <w:t>投資人申購匯款及支付買回款項應以客戶本人名義為之。</w:t>
            </w:r>
          </w:p>
          <w:p w14:paraId="36503AA7" w14:textId="77777777" w:rsidR="009B023F" w:rsidRDefault="0075731A">
            <w:pPr>
              <w:snapToGrid w:val="0"/>
              <w:spacing w:before="120" w:after="120"/>
              <w:ind w:left="1140" w:right="60" w:hanging="180"/>
              <w:jc w:val="both"/>
              <w:rPr>
                <w:rFonts w:eastAsia="標楷體"/>
                <w:color w:val="000000"/>
              </w:rPr>
            </w:pPr>
            <w:r>
              <w:rPr>
                <w:rFonts w:eastAsia="標楷體"/>
                <w:color w:val="000000"/>
              </w:rPr>
              <w:t>5.</w:t>
            </w:r>
            <w:r>
              <w:rPr>
                <w:rFonts w:eastAsia="標楷體"/>
                <w:color w:val="000000"/>
              </w:rPr>
              <w:t>申購、買回及轉換之作業流程。</w:t>
            </w:r>
          </w:p>
          <w:p w14:paraId="3EE6D955"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三</w:t>
            </w:r>
            <w:r>
              <w:rPr>
                <w:rFonts w:eastAsia="標楷體"/>
                <w:color w:val="000000"/>
              </w:rPr>
              <w:t>)</w:t>
            </w:r>
            <w:r>
              <w:rPr>
                <w:rFonts w:eastAsia="標楷體"/>
                <w:color w:val="000000"/>
              </w:rPr>
              <w:t>境外基金之募集及銷售不成立時之退款方式。</w:t>
            </w:r>
          </w:p>
          <w:p w14:paraId="392C625A"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四</w:t>
            </w:r>
            <w:r>
              <w:rPr>
                <w:rFonts w:eastAsia="標楷體"/>
                <w:color w:val="000000"/>
              </w:rPr>
              <w:t>)</w:t>
            </w:r>
            <w:r>
              <w:rPr>
                <w:rFonts w:eastAsia="標楷體"/>
                <w:color w:val="000000"/>
              </w:rPr>
              <w:t>總代理人與境外基金機構之權利、義務及責任。</w:t>
            </w:r>
          </w:p>
          <w:p w14:paraId="76C5F3AE"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五</w:t>
            </w:r>
            <w:r>
              <w:rPr>
                <w:rFonts w:eastAsia="標楷體"/>
                <w:color w:val="000000"/>
              </w:rPr>
              <w:t>)</w:t>
            </w:r>
            <w:r>
              <w:rPr>
                <w:rFonts w:eastAsia="標楷體"/>
                <w:color w:val="000000"/>
              </w:rPr>
              <w:t>總代理人應提供之資訊服務事項。</w:t>
            </w:r>
          </w:p>
          <w:p w14:paraId="23224403"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六</w:t>
            </w:r>
            <w:r>
              <w:rPr>
                <w:rFonts w:eastAsia="標楷體"/>
                <w:color w:val="000000"/>
              </w:rPr>
              <w:t>)</w:t>
            </w:r>
            <w:r>
              <w:rPr>
                <w:rFonts w:eastAsia="標楷體"/>
                <w:color w:val="000000"/>
              </w:rPr>
              <w:t>境外基金機構、總代理人及銷售機構與投資人爭議之處理方式。</w:t>
            </w:r>
          </w:p>
          <w:p w14:paraId="7497ECD8" w14:textId="77777777" w:rsidR="009B023F" w:rsidRDefault="0075731A">
            <w:pPr>
              <w:snapToGrid w:val="0"/>
              <w:spacing w:before="120" w:after="120"/>
              <w:ind w:left="948" w:right="60" w:hanging="420"/>
              <w:jc w:val="both"/>
              <w:rPr>
                <w:rFonts w:eastAsia="標楷體"/>
                <w:color w:val="000000"/>
              </w:rPr>
            </w:pPr>
            <w:r>
              <w:rPr>
                <w:rFonts w:eastAsia="標楷體"/>
                <w:color w:val="000000"/>
              </w:rPr>
              <w:lastRenderedPageBreak/>
              <w:t>(</w:t>
            </w:r>
            <w:r>
              <w:rPr>
                <w:rFonts w:eastAsia="標楷體"/>
                <w:color w:val="000000"/>
              </w:rPr>
              <w:t>七</w:t>
            </w:r>
            <w:r>
              <w:rPr>
                <w:rFonts w:eastAsia="標楷體"/>
                <w:color w:val="000000"/>
              </w:rPr>
              <w:t>)</w:t>
            </w:r>
            <w:r>
              <w:rPr>
                <w:rFonts w:eastAsia="標楷體"/>
                <w:color w:val="000000"/>
              </w:rPr>
              <w:t>協助投資人權益之保護方式。</w:t>
            </w:r>
          </w:p>
          <w:p w14:paraId="03661ECC"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八</w:t>
            </w:r>
            <w:r>
              <w:rPr>
                <w:rFonts w:eastAsia="標楷體"/>
                <w:color w:val="000000"/>
              </w:rPr>
              <w:t>)</w:t>
            </w:r>
            <w:r>
              <w:rPr>
                <w:rFonts w:eastAsia="標楷體"/>
                <w:color w:val="000000"/>
              </w:rPr>
              <w:t>交付表彰投資人權益之憑證種類。</w:t>
            </w:r>
          </w:p>
          <w:p w14:paraId="7FB82331"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九</w:t>
            </w:r>
            <w:r>
              <w:rPr>
                <w:rFonts w:eastAsia="標楷體"/>
                <w:color w:val="000000"/>
              </w:rPr>
              <w:t>)</w:t>
            </w:r>
            <w:r>
              <w:rPr>
                <w:rFonts w:eastAsia="標楷體"/>
                <w:color w:val="000000"/>
              </w:rPr>
              <w:t>為環境、社會與治理</w:t>
            </w:r>
            <w:r>
              <w:rPr>
                <w:rFonts w:eastAsia="標楷體"/>
                <w:color w:val="000000"/>
              </w:rPr>
              <w:t>(ESG)</w:t>
            </w:r>
            <w:r>
              <w:rPr>
                <w:rFonts w:eastAsia="標楷體"/>
                <w:color w:val="000000"/>
              </w:rPr>
              <w:t>相關主題基金應載明下列事項：</w:t>
            </w:r>
          </w:p>
          <w:p w14:paraId="562AF9A6" w14:textId="77777777" w:rsidR="009B023F" w:rsidRDefault="0075731A">
            <w:pPr>
              <w:snapToGrid w:val="0"/>
              <w:spacing w:before="120" w:after="120"/>
              <w:ind w:left="1140" w:right="60" w:hanging="180"/>
              <w:jc w:val="both"/>
              <w:rPr>
                <w:rFonts w:eastAsia="標楷體"/>
                <w:color w:val="000000"/>
              </w:rPr>
            </w:pPr>
            <w:r>
              <w:rPr>
                <w:rFonts w:eastAsia="標楷體"/>
                <w:color w:val="000000"/>
              </w:rPr>
              <w:t>1.</w:t>
            </w:r>
            <w:r>
              <w:rPr>
                <w:rFonts w:eastAsia="標楷體"/>
                <w:color w:val="000000"/>
              </w:rPr>
              <w:t>投資目標與衡量標準。</w:t>
            </w:r>
          </w:p>
          <w:p w14:paraId="49B8300B" w14:textId="77777777" w:rsidR="009B023F" w:rsidRDefault="0075731A">
            <w:pPr>
              <w:snapToGrid w:val="0"/>
              <w:spacing w:before="120" w:after="120"/>
              <w:ind w:left="1140" w:right="60" w:hanging="180"/>
              <w:jc w:val="both"/>
              <w:rPr>
                <w:rFonts w:eastAsia="標楷體"/>
                <w:color w:val="000000"/>
              </w:rPr>
            </w:pPr>
            <w:r>
              <w:rPr>
                <w:rFonts w:eastAsia="標楷體"/>
                <w:color w:val="000000"/>
              </w:rPr>
              <w:t>2.</w:t>
            </w:r>
            <w:r>
              <w:rPr>
                <w:rFonts w:eastAsia="標楷體"/>
                <w:color w:val="000000"/>
              </w:rPr>
              <w:t>投資策略與方法。</w:t>
            </w:r>
          </w:p>
          <w:p w14:paraId="3A17EE90" w14:textId="77777777" w:rsidR="009B023F" w:rsidRDefault="0075731A">
            <w:pPr>
              <w:snapToGrid w:val="0"/>
              <w:spacing w:before="120" w:after="120"/>
              <w:ind w:left="1140" w:right="60" w:hanging="180"/>
              <w:jc w:val="both"/>
              <w:rPr>
                <w:rFonts w:eastAsia="標楷體"/>
                <w:color w:val="000000"/>
              </w:rPr>
            </w:pPr>
            <w:r>
              <w:rPr>
                <w:rFonts w:eastAsia="標楷體"/>
                <w:color w:val="000000"/>
              </w:rPr>
              <w:t>3.</w:t>
            </w:r>
            <w:r>
              <w:rPr>
                <w:rFonts w:eastAsia="標楷體"/>
                <w:color w:val="000000"/>
              </w:rPr>
              <w:t>投資比例配置。</w:t>
            </w:r>
          </w:p>
          <w:p w14:paraId="4327D89D" w14:textId="77777777" w:rsidR="009B023F" w:rsidRDefault="0075731A">
            <w:pPr>
              <w:snapToGrid w:val="0"/>
              <w:spacing w:before="120" w:after="120"/>
              <w:ind w:left="1140" w:right="60" w:hanging="180"/>
              <w:jc w:val="both"/>
              <w:rPr>
                <w:rFonts w:eastAsia="標楷體"/>
                <w:color w:val="000000"/>
              </w:rPr>
            </w:pPr>
            <w:r>
              <w:rPr>
                <w:rFonts w:eastAsia="標楷體"/>
                <w:color w:val="000000"/>
              </w:rPr>
              <w:t>4.</w:t>
            </w:r>
            <w:r>
              <w:rPr>
                <w:rFonts w:eastAsia="標楷體"/>
                <w:color w:val="000000"/>
              </w:rPr>
              <w:t>參考績效指標。</w:t>
            </w:r>
          </w:p>
          <w:p w14:paraId="6AADD1C1" w14:textId="77777777" w:rsidR="009B023F" w:rsidRDefault="0075731A">
            <w:pPr>
              <w:snapToGrid w:val="0"/>
              <w:spacing w:before="120" w:after="120"/>
              <w:ind w:left="1140" w:right="60" w:hanging="180"/>
              <w:jc w:val="both"/>
              <w:rPr>
                <w:rFonts w:eastAsia="標楷體"/>
                <w:color w:val="000000"/>
              </w:rPr>
            </w:pPr>
            <w:r>
              <w:rPr>
                <w:rFonts w:eastAsia="標楷體"/>
                <w:color w:val="000000"/>
              </w:rPr>
              <w:t>5.</w:t>
            </w:r>
            <w:r>
              <w:rPr>
                <w:rFonts w:eastAsia="標楷體"/>
                <w:color w:val="000000"/>
              </w:rPr>
              <w:t>排除政策。</w:t>
            </w:r>
          </w:p>
          <w:p w14:paraId="2954C756" w14:textId="77777777" w:rsidR="009B023F" w:rsidRDefault="0075731A">
            <w:pPr>
              <w:snapToGrid w:val="0"/>
              <w:spacing w:before="120" w:after="120"/>
              <w:ind w:left="1140" w:right="60" w:hanging="180"/>
              <w:jc w:val="both"/>
              <w:rPr>
                <w:rFonts w:eastAsia="標楷體"/>
                <w:color w:val="000000"/>
              </w:rPr>
            </w:pPr>
            <w:r>
              <w:rPr>
                <w:rFonts w:eastAsia="標楷體"/>
                <w:color w:val="000000"/>
              </w:rPr>
              <w:t>6.</w:t>
            </w:r>
            <w:r>
              <w:rPr>
                <w:rFonts w:eastAsia="標楷體"/>
                <w:color w:val="000000"/>
              </w:rPr>
              <w:t>風險警語。</w:t>
            </w:r>
          </w:p>
          <w:p w14:paraId="346FE923" w14:textId="77777777" w:rsidR="009B023F" w:rsidRDefault="0075731A">
            <w:pPr>
              <w:snapToGrid w:val="0"/>
              <w:spacing w:before="120" w:after="120"/>
              <w:ind w:left="1140" w:right="60" w:hanging="180"/>
              <w:jc w:val="both"/>
              <w:rPr>
                <w:rFonts w:eastAsia="標楷體"/>
                <w:color w:val="000000"/>
              </w:rPr>
            </w:pPr>
            <w:r>
              <w:rPr>
                <w:rFonts w:eastAsia="標楷體"/>
                <w:color w:val="000000"/>
              </w:rPr>
              <w:t>7.</w:t>
            </w:r>
            <w:r>
              <w:rPr>
                <w:rFonts w:eastAsia="標楷體"/>
                <w:color w:val="000000"/>
              </w:rPr>
              <w:t>盡職治理參與。</w:t>
            </w:r>
          </w:p>
          <w:p w14:paraId="444FB4B6" w14:textId="77777777" w:rsidR="009B023F" w:rsidRDefault="0075731A">
            <w:pPr>
              <w:snapToGrid w:val="0"/>
              <w:spacing w:before="120" w:after="120"/>
              <w:ind w:left="1140" w:right="60" w:hanging="180"/>
              <w:jc w:val="both"/>
              <w:rPr>
                <w:rFonts w:eastAsia="標楷體"/>
                <w:color w:val="000000"/>
              </w:rPr>
            </w:pPr>
            <w:r>
              <w:rPr>
                <w:rFonts w:eastAsia="標楷體"/>
                <w:color w:val="000000"/>
              </w:rPr>
              <w:t>8.</w:t>
            </w:r>
            <w:r>
              <w:rPr>
                <w:rFonts w:eastAsia="標楷體"/>
                <w:color w:val="000000"/>
              </w:rPr>
              <w:t>查詢基金定期評估資訊之網址，以及公司揭露盡職治理報告書相關資料之網址。</w:t>
            </w:r>
          </w:p>
          <w:p w14:paraId="40D49185"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十</w:t>
            </w:r>
            <w:r>
              <w:rPr>
                <w:rFonts w:eastAsia="標楷體"/>
                <w:color w:val="000000"/>
              </w:rPr>
              <w:t>)</w:t>
            </w:r>
            <w:r>
              <w:rPr>
                <w:rFonts w:eastAsia="標楷體"/>
                <w:color w:val="000000"/>
              </w:rPr>
              <w:t>投資人須知載明事項是否符合同業公會投資人須知範本及投資人須知製作格式說明。</w:t>
            </w:r>
          </w:p>
          <w:p w14:paraId="35DF6845"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十一</w:t>
            </w:r>
            <w:r>
              <w:rPr>
                <w:rFonts w:eastAsia="標楷體"/>
                <w:color w:val="000000"/>
              </w:rPr>
              <w:t>)</w:t>
            </w:r>
            <w:r>
              <w:rPr>
                <w:rFonts w:eastAsia="標楷體"/>
                <w:color w:val="000000"/>
              </w:rPr>
              <w:t>其他經主管機關規定之事項。</w:t>
            </w:r>
          </w:p>
          <w:p w14:paraId="56AFE772" w14:textId="77777777" w:rsidR="009B023F" w:rsidRDefault="0075731A">
            <w:pPr>
              <w:snapToGrid w:val="0"/>
              <w:spacing w:before="120" w:after="120"/>
              <w:ind w:left="240" w:right="60" w:hanging="240"/>
              <w:jc w:val="both"/>
              <w:rPr>
                <w:rFonts w:eastAsia="標楷體"/>
                <w:color w:val="000000"/>
              </w:rPr>
            </w:pPr>
            <w:r>
              <w:rPr>
                <w:rFonts w:eastAsia="標楷體"/>
                <w:color w:val="000000"/>
              </w:rPr>
              <w:t>※</w:t>
            </w:r>
            <w:proofErr w:type="gramStart"/>
            <w:r>
              <w:rPr>
                <w:rFonts w:eastAsia="標楷體"/>
                <w:color w:val="000000"/>
              </w:rPr>
              <w:t>採</w:t>
            </w:r>
            <w:proofErr w:type="gramEnd"/>
            <w:r>
              <w:rPr>
                <w:rFonts w:eastAsia="標楷體"/>
                <w:color w:val="000000"/>
              </w:rPr>
              <w:t>公平價格及反稀釋機制之基金，應於第十項投資人須知第一部份「風險警語」揭露該等機制所載內容之頁次。且若於大</w:t>
            </w:r>
            <w:proofErr w:type="gramStart"/>
            <w:r>
              <w:rPr>
                <w:rFonts w:eastAsia="標楷體"/>
                <w:color w:val="000000"/>
              </w:rPr>
              <w:t>額申贖時採</w:t>
            </w:r>
            <w:proofErr w:type="gramEnd"/>
            <w:r>
              <w:rPr>
                <w:rFonts w:eastAsia="標楷體"/>
                <w:color w:val="000000"/>
              </w:rPr>
              <w:t>調整淨值並適用所有當日申購之投資人者，應於投資人須知加強說明該機制之適用對象及其影響，如「本基金</w:t>
            </w:r>
            <w:proofErr w:type="gramStart"/>
            <w:r>
              <w:rPr>
                <w:rFonts w:eastAsia="標楷體"/>
                <w:color w:val="000000"/>
              </w:rPr>
              <w:t>採</w:t>
            </w:r>
            <w:proofErr w:type="gramEnd"/>
            <w:r>
              <w:rPr>
                <w:rFonts w:eastAsia="標楷體"/>
                <w:color w:val="000000"/>
              </w:rPr>
              <w:t>反稀釋機制（擺動定價機制）調整基金淨值，該淨值適用於所有當日申購之投資者，不論投資人申贖金額多寡，</w:t>
            </w:r>
            <w:proofErr w:type="gramStart"/>
            <w:r>
              <w:rPr>
                <w:rFonts w:eastAsia="標楷體"/>
                <w:color w:val="000000"/>
              </w:rPr>
              <w:t>均會以</w:t>
            </w:r>
            <w:proofErr w:type="gramEnd"/>
            <w:r>
              <w:rPr>
                <w:rFonts w:eastAsia="標楷體"/>
                <w:color w:val="000000"/>
              </w:rPr>
              <w:t>調整後淨值計算」。</w:t>
            </w:r>
          </w:p>
          <w:p w14:paraId="354EEC16" w14:textId="77777777" w:rsidR="009B023F" w:rsidRDefault="0075731A">
            <w:pPr>
              <w:snapToGrid w:val="0"/>
              <w:spacing w:before="120" w:after="120"/>
              <w:ind w:left="692" w:right="60" w:hanging="692"/>
              <w:jc w:val="both"/>
            </w:pPr>
            <w:r>
              <w:rPr>
                <w:rFonts w:eastAsia="標楷體"/>
                <w:color w:val="000000"/>
              </w:rPr>
              <w:t>十、公開說明書</w:t>
            </w:r>
            <w:proofErr w:type="gramStart"/>
            <w:r>
              <w:rPr>
                <w:rFonts w:eastAsia="標楷體"/>
                <w:color w:val="000000"/>
              </w:rPr>
              <w:t>併</w:t>
            </w:r>
            <w:proofErr w:type="gramEnd"/>
            <w:r>
              <w:rPr>
                <w:rFonts w:eastAsia="標楷體"/>
                <w:color w:val="000000"/>
              </w:rPr>
              <w:t>同其中譯本</w:t>
            </w:r>
            <w:r>
              <w:rPr>
                <w:rFonts w:eastAsia="標楷體"/>
                <w:color w:val="000000"/>
              </w:rPr>
              <w:t>(</w:t>
            </w:r>
            <w:r>
              <w:rPr>
                <w:rFonts w:eastAsia="標楷體"/>
                <w:color w:val="000000"/>
              </w:rPr>
              <w:t>得僅提供公開說明書及其中譯本一般資訊及本次申報基金資訊之相關頁次</w:t>
            </w:r>
            <w:r>
              <w:rPr>
                <w:rFonts w:eastAsia="標楷體"/>
                <w:color w:val="000000"/>
              </w:rPr>
              <w:t>)</w:t>
            </w:r>
            <w:r>
              <w:rPr>
                <w:rFonts w:eastAsia="標楷體"/>
                <w:color w:val="000000"/>
              </w:rPr>
              <w:t>：</w:t>
            </w:r>
          </w:p>
          <w:p w14:paraId="2FC3E282"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已明定境外基金從事衍生性商品交易，持有未沖銷多頭部位價值之總金額，不得超過該境外基金淨資產價值之百分之四十；持有未沖銷空頭部位價值之總金額不得超過該境外基金所持有之相對應有價證券總市值。（境外基金經金管會專案核准或基金註冊</w:t>
            </w:r>
            <w:r>
              <w:rPr>
                <w:rFonts w:eastAsia="標楷體"/>
                <w:color w:val="000000"/>
              </w:rPr>
              <w:lastRenderedPageBreak/>
              <w:t>地經我國承認並公告者，免受此項限制）</w:t>
            </w:r>
          </w:p>
          <w:p w14:paraId="08D558E4"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未明定上開境外基金從事衍生性商品交易之投資限制者，說明為符合有關衍生性商品交易限制之規定，所建置之</w:t>
            </w:r>
            <w:proofErr w:type="gramStart"/>
            <w:r>
              <w:rPr>
                <w:rFonts w:eastAsia="標楷體"/>
                <w:color w:val="000000"/>
              </w:rPr>
              <w:t>內部控</w:t>
            </w:r>
            <w:proofErr w:type="gramEnd"/>
            <w:r>
              <w:rPr>
                <w:rFonts w:eastAsia="標楷體"/>
                <w:color w:val="000000"/>
              </w:rPr>
              <w:t>管機制。（境外基金經金管會專案核准或基金註冊地經我國承認並公告者不適用）</w:t>
            </w:r>
          </w:p>
          <w:p w14:paraId="7BBFD720"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三</w:t>
            </w:r>
            <w:r>
              <w:rPr>
                <w:rFonts w:eastAsia="標楷體"/>
                <w:color w:val="000000"/>
              </w:rPr>
              <w:t>)</w:t>
            </w:r>
            <w:r>
              <w:rPr>
                <w:rFonts w:eastAsia="標楷體"/>
                <w:color w:val="000000"/>
              </w:rPr>
              <w:t>境外基金基本資料表、投資人須知、律師出具基金註冊地及基金管理機構註冊地對投資人權益之保護不低於我國之意見書等書件，其所載內容與公開說明書之規定具一致性。</w:t>
            </w:r>
          </w:p>
          <w:p w14:paraId="09ACDE97"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四</w:t>
            </w:r>
            <w:r>
              <w:rPr>
                <w:rFonts w:eastAsia="標楷體"/>
                <w:color w:val="000000"/>
              </w:rPr>
              <w:t>)</w:t>
            </w:r>
            <w:r>
              <w:rPr>
                <w:rFonts w:eastAsia="標楷體"/>
                <w:color w:val="000000"/>
              </w:rPr>
              <w:t>中譯本不得納入國內未經核准或核備之基金。</w:t>
            </w:r>
          </w:p>
          <w:p w14:paraId="47E3F2FD" w14:textId="77777777" w:rsidR="009B023F" w:rsidRDefault="0075731A">
            <w:pPr>
              <w:snapToGrid w:val="0"/>
              <w:spacing w:before="120" w:after="120"/>
              <w:ind w:left="692" w:right="60" w:hanging="692"/>
              <w:jc w:val="both"/>
            </w:pPr>
            <w:r>
              <w:rPr>
                <w:rFonts w:eastAsia="標楷體"/>
                <w:color w:val="000000"/>
              </w:rPr>
              <w:t>十</w:t>
            </w:r>
            <w:r>
              <w:rPr>
                <w:rFonts w:eastAsia="標楷體"/>
              </w:rPr>
              <w:t>一</w:t>
            </w:r>
            <w:r>
              <w:rPr>
                <w:rFonts w:eastAsia="標楷體"/>
                <w:color w:val="000000"/>
              </w:rPr>
              <w:t>、境外基金非以新臺幣或人民幣計價。</w:t>
            </w:r>
          </w:p>
          <w:p w14:paraId="0EEDAD3A" w14:textId="77777777" w:rsidR="009B023F" w:rsidRDefault="0075731A">
            <w:pPr>
              <w:snapToGrid w:val="0"/>
              <w:spacing w:before="120" w:after="120"/>
              <w:ind w:left="692" w:right="60" w:hanging="692"/>
              <w:jc w:val="both"/>
            </w:pPr>
            <w:r>
              <w:rPr>
                <w:rFonts w:eastAsia="標楷體"/>
                <w:color w:val="000000"/>
              </w:rPr>
              <w:t>十</w:t>
            </w:r>
            <w:r>
              <w:rPr>
                <w:rFonts w:eastAsia="標楷體"/>
              </w:rPr>
              <w:t>二</w:t>
            </w:r>
            <w:r>
              <w:rPr>
                <w:rFonts w:eastAsia="標楷體"/>
                <w:color w:val="000000"/>
              </w:rPr>
              <w:t>、境外基金成立滿一年以上。（境外基金經金管會專案核准或基金註冊地經我國承認並公告者，免受此項限制，其申報程序</w:t>
            </w:r>
            <w:proofErr w:type="gramStart"/>
            <w:r>
              <w:rPr>
                <w:rFonts w:eastAsia="標楷體"/>
                <w:color w:val="000000"/>
              </w:rPr>
              <w:t>準</w:t>
            </w:r>
            <w:proofErr w:type="gramEnd"/>
            <w:r>
              <w:rPr>
                <w:rFonts w:eastAsia="標楷體"/>
                <w:color w:val="000000"/>
              </w:rPr>
              <w:t>用證券投資信託事業募集證券投資信託基金處理準則之規定）</w:t>
            </w:r>
          </w:p>
          <w:p w14:paraId="4F1B5154" w14:textId="77777777" w:rsidR="009B023F" w:rsidRDefault="0075731A">
            <w:pPr>
              <w:snapToGrid w:val="0"/>
              <w:spacing w:before="120" w:after="120"/>
              <w:ind w:left="692" w:right="60" w:hanging="692"/>
              <w:jc w:val="both"/>
            </w:pPr>
            <w:r>
              <w:rPr>
                <w:rFonts w:eastAsia="標楷體"/>
                <w:color w:val="000000"/>
              </w:rPr>
              <w:t>十</w:t>
            </w:r>
            <w:r>
              <w:rPr>
                <w:rFonts w:eastAsia="標楷體"/>
              </w:rPr>
              <w:t>三</w:t>
            </w:r>
            <w:r>
              <w:rPr>
                <w:rFonts w:eastAsia="標楷體"/>
                <w:color w:val="000000"/>
              </w:rPr>
              <w:t>、境外基金管理機構符合境外基金管理辦法第二十四條規定之證明文件：</w:t>
            </w:r>
          </w:p>
          <w:p w14:paraId="660BD363"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境外基金管理機構（得含其控制或從屬機構）所管理以公開募集方式集資投資於證券之基金總資產淨值超過二十億美元或等值之外幣者。</w:t>
            </w:r>
            <w:proofErr w:type="gramStart"/>
            <w:r>
              <w:rPr>
                <w:rFonts w:eastAsia="標楷體"/>
                <w:color w:val="000000"/>
              </w:rPr>
              <w:t>所稱總資產</w:t>
            </w:r>
            <w:proofErr w:type="gramEnd"/>
            <w:r>
              <w:rPr>
                <w:rFonts w:eastAsia="標楷體"/>
                <w:color w:val="000000"/>
              </w:rPr>
              <w:t>淨值之計算不包括退休基金及個人或機構投資人全權委託帳戶</w:t>
            </w:r>
            <w:proofErr w:type="gramStart"/>
            <w:r>
              <w:rPr>
                <w:rFonts w:eastAsia="標楷體"/>
                <w:color w:val="000000"/>
              </w:rPr>
              <w:t>（</w:t>
            </w:r>
            <w:proofErr w:type="gramEnd"/>
            <w:r>
              <w:rPr>
                <w:rFonts w:eastAsia="標楷體"/>
                <w:color w:val="000000"/>
              </w:rPr>
              <w:t>以會計師出具之證明認定；總代理人前業經核准或申報生效募集及銷售同一境外基金管理機構管理之境外基金者，詳填表注意事項</w:t>
            </w:r>
            <w:proofErr w:type="gramStart"/>
            <w:r>
              <w:rPr>
                <w:rFonts w:eastAsia="標楷體"/>
                <w:color w:val="000000"/>
              </w:rPr>
              <w:t>）</w:t>
            </w:r>
            <w:proofErr w:type="gramEnd"/>
            <w:r>
              <w:rPr>
                <w:rFonts w:eastAsia="標楷體"/>
                <w:color w:val="000000"/>
              </w:rPr>
              <w:t>：</w:t>
            </w:r>
          </w:p>
          <w:p w14:paraId="6EB96EEE" w14:textId="77777777" w:rsidR="009B023F" w:rsidRDefault="0075731A">
            <w:pPr>
              <w:snapToGrid w:val="0"/>
              <w:spacing w:before="120" w:after="120"/>
              <w:ind w:left="1140" w:right="60" w:hanging="180"/>
              <w:jc w:val="both"/>
              <w:rPr>
                <w:rFonts w:eastAsia="標楷體"/>
                <w:color w:val="000000"/>
              </w:rPr>
            </w:pPr>
            <w:r>
              <w:rPr>
                <w:rFonts w:eastAsia="標楷體"/>
                <w:color w:val="000000"/>
              </w:rPr>
              <w:t>1.</w:t>
            </w:r>
            <w:r>
              <w:rPr>
                <w:rFonts w:eastAsia="標楷體"/>
                <w:color w:val="000000"/>
              </w:rPr>
              <w:t>上開證明應詳列基金名稱、成立日期及規模，並總計各基金規模（基本計價幣別不同時，應換算為相同幣別後加總）。</w:t>
            </w:r>
          </w:p>
          <w:p w14:paraId="5AE184DD" w14:textId="77777777" w:rsidR="009B023F" w:rsidRDefault="0075731A">
            <w:pPr>
              <w:snapToGrid w:val="0"/>
              <w:spacing w:before="120" w:after="120"/>
              <w:ind w:left="1140" w:right="60" w:hanging="180"/>
              <w:jc w:val="both"/>
              <w:rPr>
                <w:rFonts w:eastAsia="標楷體"/>
                <w:color w:val="000000"/>
              </w:rPr>
            </w:pPr>
            <w:r>
              <w:rPr>
                <w:rFonts w:eastAsia="標楷體"/>
                <w:color w:val="000000"/>
              </w:rPr>
              <w:t>2.</w:t>
            </w:r>
            <w:r>
              <w:rPr>
                <w:rFonts w:eastAsia="標楷體"/>
                <w:color w:val="000000"/>
              </w:rPr>
              <w:t>管理基金總資產淨值之證明文件如包含其控制或從屬機構所管理之基金資產者，應分別說明該境外基金管理機構與其控制或從屬機構個別</w:t>
            </w:r>
            <w:r>
              <w:rPr>
                <w:rFonts w:eastAsia="標楷體"/>
                <w:color w:val="000000"/>
              </w:rPr>
              <w:lastRenderedPageBreak/>
              <w:t>管理之總資產淨值，並加附集團組織圖及持有股權明細狀況。</w:t>
            </w:r>
          </w:p>
          <w:p w14:paraId="18B2FB6A" w14:textId="77777777" w:rsidR="009B023F" w:rsidRDefault="0075731A">
            <w:pPr>
              <w:snapToGrid w:val="0"/>
              <w:spacing w:before="120" w:after="120"/>
              <w:ind w:left="948" w:right="60" w:hanging="420"/>
              <w:jc w:val="both"/>
            </w:pPr>
            <w:r>
              <w:rPr>
                <w:rFonts w:eastAsia="標楷體"/>
                <w:color w:val="000000"/>
              </w:rPr>
              <w:t>(</w:t>
            </w:r>
            <w:r>
              <w:rPr>
                <w:rFonts w:eastAsia="標楷體"/>
                <w:color w:val="000000"/>
              </w:rPr>
              <w:t>二</w:t>
            </w:r>
            <w:r>
              <w:rPr>
                <w:rFonts w:eastAsia="標楷體"/>
                <w:color w:val="000000"/>
              </w:rPr>
              <w:t>)</w:t>
            </w:r>
            <w:r>
              <w:rPr>
                <w:rFonts w:eastAsia="標楷體"/>
                <w:color w:val="000000"/>
              </w:rPr>
              <w:t>最近二年未</w:t>
            </w:r>
            <w:r>
              <w:rPr>
                <w:rFonts w:eastAsia="標楷體"/>
              </w:rPr>
              <w:t>因辦理資產管理業務受當地主管機關處分並有紀錄在案，或受處分但已改善（由當地主管機關或自律團體或境外基金管理機構有權聲明之董事，出具證明或聲明）；依境外基金管理辦法第二十七條之二</w:t>
            </w:r>
            <w:proofErr w:type="gramStart"/>
            <w:r>
              <w:rPr>
                <w:rFonts w:eastAsia="標楷體"/>
              </w:rPr>
              <w:t>採</w:t>
            </w:r>
            <w:proofErr w:type="gramEnd"/>
            <w:r>
              <w:rPr>
                <w:rFonts w:eastAsia="標楷體"/>
              </w:rPr>
              <w:t>申報生效制之境外基金，最近二年有因辦理資產管理業務受當地主管機關處分並有紀錄在案者，</w:t>
            </w:r>
            <w:proofErr w:type="gramStart"/>
            <w:r>
              <w:rPr>
                <w:rFonts w:eastAsia="標楷體"/>
              </w:rPr>
              <w:t>檢附由當地</w:t>
            </w:r>
            <w:proofErr w:type="gramEnd"/>
            <w:r>
              <w:rPr>
                <w:rFonts w:eastAsia="標楷體"/>
              </w:rPr>
              <w:t>主管機關或自律團體出具已改善之證明</w:t>
            </w:r>
            <w:r>
              <w:rPr>
                <w:rFonts w:eastAsia="標楷體"/>
                <w:color w:val="000000"/>
              </w:rPr>
              <w:t>。</w:t>
            </w:r>
          </w:p>
          <w:p w14:paraId="2563BEEB"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三</w:t>
            </w:r>
            <w:r>
              <w:rPr>
                <w:rFonts w:eastAsia="標楷體"/>
                <w:color w:val="000000"/>
              </w:rPr>
              <w:t>)</w:t>
            </w:r>
            <w:r>
              <w:rPr>
                <w:rFonts w:eastAsia="標楷體"/>
                <w:color w:val="000000"/>
              </w:rPr>
              <w:t>成立滿二年以上</w:t>
            </w:r>
            <w:proofErr w:type="gramStart"/>
            <w:r>
              <w:rPr>
                <w:rFonts w:eastAsia="標楷體"/>
                <w:color w:val="000000"/>
              </w:rPr>
              <w:t>（</w:t>
            </w:r>
            <w:proofErr w:type="gramEnd"/>
            <w:r>
              <w:rPr>
                <w:rFonts w:eastAsia="標楷體"/>
                <w:color w:val="000000"/>
              </w:rPr>
              <w:t>以主管機關核發或出具之登記證明或相當文件認定；總代理人前業經核准或申報生效募集及銷售同一境外基金管理機構管理之境外基金者，若未有變更得免</w:t>
            </w:r>
            <w:proofErr w:type="gramStart"/>
            <w:r>
              <w:rPr>
                <w:rFonts w:eastAsia="標楷體"/>
                <w:color w:val="000000"/>
              </w:rPr>
              <w:t>附</w:t>
            </w:r>
            <w:proofErr w:type="gramEnd"/>
            <w:r>
              <w:rPr>
                <w:rFonts w:eastAsia="標楷體"/>
                <w:color w:val="000000"/>
              </w:rPr>
              <w:t>，惟應於備註欄敘明原因</w:t>
            </w:r>
            <w:proofErr w:type="gramStart"/>
            <w:r>
              <w:rPr>
                <w:rFonts w:eastAsia="標楷體"/>
                <w:color w:val="000000"/>
              </w:rPr>
              <w:t>）</w:t>
            </w:r>
            <w:proofErr w:type="gramEnd"/>
            <w:r>
              <w:rPr>
                <w:rFonts w:eastAsia="標楷體"/>
                <w:color w:val="000000"/>
              </w:rPr>
              <w:t>。</w:t>
            </w:r>
          </w:p>
          <w:p w14:paraId="7E9FF3B1"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四</w:t>
            </w:r>
            <w:r>
              <w:rPr>
                <w:rFonts w:eastAsia="標楷體"/>
                <w:color w:val="000000"/>
              </w:rPr>
              <w:t>)</w:t>
            </w:r>
            <w:r>
              <w:rPr>
                <w:rFonts w:eastAsia="標楷體"/>
                <w:color w:val="000000"/>
              </w:rPr>
              <w:t>對增進我國資產管理業務有符合金管會規定之具體貢獻證明文件。</w:t>
            </w:r>
          </w:p>
          <w:p w14:paraId="5954C197" w14:textId="77777777" w:rsidR="009B023F" w:rsidRDefault="0075731A">
            <w:pPr>
              <w:snapToGrid w:val="0"/>
              <w:spacing w:before="120" w:after="120"/>
              <w:ind w:left="692" w:right="60" w:hanging="692"/>
              <w:jc w:val="both"/>
            </w:pPr>
            <w:r>
              <w:rPr>
                <w:rFonts w:eastAsia="標楷體"/>
                <w:color w:val="000000"/>
              </w:rPr>
              <w:t>十</w:t>
            </w:r>
            <w:r>
              <w:rPr>
                <w:rFonts w:eastAsia="標楷體"/>
              </w:rPr>
              <w:t>四</w:t>
            </w:r>
            <w:r>
              <w:rPr>
                <w:rFonts w:eastAsia="標楷體"/>
                <w:color w:val="000000"/>
              </w:rPr>
              <w:t>、境外基金機構出具將依金管會之要求，提供該境外基金機構有關境外基金申購、買回或轉換等之相關簿冊及涉及投資人權益之相關資料予金管會查閱之聲明文件。</w:t>
            </w:r>
          </w:p>
          <w:p w14:paraId="2393941A" w14:textId="77777777" w:rsidR="009B023F" w:rsidRDefault="0075731A">
            <w:pPr>
              <w:snapToGrid w:val="0"/>
              <w:spacing w:before="120" w:after="120"/>
              <w:ind w:left="692" w:right="60" w:hanging="692"/>
              <w:jc w:val="both"/>
            </w:pPr>
            <w:r>
              <w:rPr>
                <w:rFonts w:eastAsia="標楷體"/>
                <w:color w:val="000000"/>
              </w:rPr>
              <w:t>十</w:t>
            </w:r>
            <w:r>
              <w:rPr>
                <w:rFonts w:eastAsia="標楷體"/>
              </w:rPr>
              <w:t>五</w:t>
            </w:r>
            <w:r>
              <w:rPr>
                <w:rFonts w:eastAsia="標楷體"/>
                <w:color w:val="000000"/>
              </w:rPr>
              <w:t>、境外基金管理機構出具符合境外基金管理辦法第二十三條第一項第一款至第五款規定，且嗣後該境外基金若未符合規定，應即向金管會申請終止辦理該境外基金之募集銷售之聲明書。（境外基金經金管會專案核准或基金註冊地經我國承認並公告者，免受第一款限制）</w:t>
            </w:r>
          </w:p>
          <w:p w14:paraId="6FA55F8A" w14:textId="77777777" w:rsidR="009B023F" w:rsidRDefault="0075731A">
            <w:pPr>
              <w:snapToGrid w:val="0"/>
              <w:spacing w:before="120" w:after="120"/>
              <w:ind w:left="692" w:right="60" w:hanging="692"/>
              <w:jc w:val="both"/>
            </w:pPr>
            <w:r>
              <w:rPr>
                <w:rFonts w:eastAsia="標楷體"/>
                <w:color w:val="000000"/>
              </w:rPr>
              <w:t>十</w:t>
            </w:r>
            <w:r>
              <w:rPr>
                <w:rFonts w:eastAsia="標楷體"/>
              </w:rPr>
              <w:t>六</w:t>
            </w:r>
            <w:r>
              <w:rPr>
                <w:rFonts w:eastAsia="標楷體"/>
                <w:color w:val="000000"/>
              </w:rPr>
              <w:t>、境外基金管理機構最近期經會計師查核簽證之財務報告。</w:t>
            </w:r>
          </w:p>
          <w:p w14:paraId="364F36E1"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會計師出具之查核意見為無保留意見。</w:t>
            </w:r>
          </w:p>
          <w:p w14:paraId="17F9386C"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會計師出具無保留意見以外之查核意見者，其原因：</w:t>
            </w:r>
          </w:p>
          <w:p w14:paraId="4EF6432D" w14:textId="77777777" w:rsidR="009B023F" w:rsidRDefault="0075731A">
            <w:pPr>
              <w:snapToGrid w:val="0"/>
              <w:spacing w:before="120" w:after="120"/>
              <w:ind w:left="690"/>
              <w:jc w:val="both"/>
            </w:pPr>
            <w:r>
              <w:rPr>
                <w:rFonts w:eastAsia="標楷體"/>
                <w:color w:val="000000"/>
              </w:rPr>
              <w:t xml:space="preserve">  </w:t>
            </w:r>
            <w:r>
              <w:rPr>
                <w:rFonts w:eastAsia="標楷體"/>
                <w:color w:val="000000"/>
                <w:u w:val="single"/>
              </w:rPr>
              <w:t xml:space="preserve">                            </w:t>
            </w:r>
            <w:r>
              <w:rPr>
                <w:rFonts w:eastAsia="標楷體"/>
                <w:color w:val="000000"/>
              </w:rPr>
              <w:t>。</w:t>
            </w:r>
          </w:p>
          <w:p w14:paraId="587BFB2D" w14:textId="77777777" w:rsidR="009B023F" w:rsidRDefault="0075731A">
            <w:pPr>
              <w:snapToGrid w:val="0"/>
              <w:spacing w:before="120" w:after="120"/>
              <w:ind w:left="692" w:right="60" w:hanging="692"/>
              <w:jc w:val="both"/>
            </w:pPr>
            <w:r>
              <w:rPr>
                <w:rFonts w:eastAsia="標楷體"/>
                <w:color w:val="000000"/>
              </w:rPr>
              <w:lastRenderedPageBreak/>
              <w:t>十</w:t>
            </w:r>
            <w:r>
              <w:rPr>
                <w:rFonts w:eastAsia="標楷體"/>
              </w:rPr>
              <w:t>七</w:t>
            </w:r>
            <w:r>
              <w:rPr>
                <w:rFonts w:eastAsia="標楷體"/>
                <w:color w:val="000000"/>
              </w:rPr>
              <w:t>、境外基金之保管機構信用評等等級符合境外基金管理辦法第二十五條規定之證明文件。（係指保管機構、主要次保管機構之信用評等資料，或其他相當之證明文件）</w:t>
            </w:r>
          </w:p>
          <w:p w14:paraId="275FC16B" w14:textId="77777777" w:rsidR="009B023F" w:rsidRDefault="0075731A">
            <w:pPr>
              <w:snapToGrid w:val="0"/>
              <w:spacing w:before="120" w:after="120"/>
              <w:ind w:left="692" w:right="60" w:hanging="692"/>
              <w:jc w:val="both"/>
            </w:pPr>
            <w:r>
              <w:rPr>
                <w:rFonts w:eastAsia="標楷體"/>
              </w:rPr>
              <w:t>十八</w:t>
            </w:r>
            <w:r>
              <w:rPr>
                <w:rFonts w:eastAsia="標楷體"/>
                <w:color w:val="000000"/>
              </w:rPr>
              <w:t>、律師出具基金註冊地對投資人權益之保護不低於我國之意見書。（基金註冊地為我國承認且公告者免附）</w:t>
            </w:r>
          </w:p>
          <w:p w14:paraId="1F8BF812" w14:textId="77777777" w:rsidR="009B023F" w:rsidRDefault="0075731A">
            <w:pPr>
              <w:snapToGrid w:val="0"/>
              <w:spacing w:before="120" w:after="120"/>
              <w:ind w:left="692" w:right="60" w:hanging="692"/>
              <w:jc w:val="both"/>
              <w:rPr>
                <w:rFonts w:eastAsia="標楷體"/>
                <w:color w:val="000000"/>
              </w:rPr>
            </w:pPr>
            <w:r>
              <w:rPr>
                <w:rFonts w:eastAsia="標楷體"/>
                <w:color w:val="000000"/>
              </w:rPr>
              <w:t>十九、律師出具基金管理機構註冊地對投資人權益之保護不低於我國之意見書。（基金管理機構所在地為我國承認且公告者免附）</w:t>
            </w:r>
          </w:p>
          <w:p w14:paraId="57B887FB" w14:textId="77777777" w:rsidR="009B023F" w:rsidRDefault="0075731A">
            <w:pPr>
              <w:snapToGrid w:val="0"/>
              <w:spacing w:before="120" w:after="120"/>
              <w:ind w:left="692" w:right="60" w:hanging="692"/>
              <w:jc w:val="both"/>
              <w:rPr>
                <w:rFonts w:eastAsia="標楷體"/>
                <w:color w:val="000000"/>
              </w:rPr>
            </w:pPr>
            <w:r>
              <w:rPr>
                <w:rFonts w:eastAsia="標楷體"/>
                <w:color w:val="000000"/>
              </w:rPr>
              <w:t>二十、同業公會同意入會之證明文件，但已加入同業公會者，免</w:t>
            </w:r>
            <w:proofErr w:type="gramStart"/>
            <w:r>
              <w:rPr>
                <w:rFonts w:eastAsia="標楷體"/>
                <w:color w:val="000000"/>
              </w:rPr>
              <w:t>附</w:t>
            </w:r>
            <w:proofErr w:type="gramEnd"/>
            <w:r>
              <w:rPr>
                <w:rFonts w:eastAsia="標楷體"/>
                <w:color w:val="000000"/>
              </w:rPr>
              <w:t>。</w:t>
            </w:r>
          </w:p>
          <w:p w14:paraId="5D457FEC" w14:textId="77777777" w:rsidR="009B023F" w:rsidRDefault="0075731A">
            <w:pPr>
              <w:snapToGrid w:val="0"/>
              <w:spacing w:before="120" w:after="120"/>
              <w:ind w:left="890" w:right="60" w:hanging="890"/>
              <w:jc w:val="both"/>
            </w:pPr>
            <w:r>
              <w:rPr>
                <w:rFonts w:eastAsia="標楷體"/>
                <w:color w:val="000000"/>
              </w:rPr>
              <w:t>二十</w:t>
            </w:r>
            <w:r>
              <w:rPr>
                <w:rFonts w:eastAsia="標楷體"/>
              </w:rPr>
              <w:t>一</w:t>
            </w:r>
            <w:r>
              <w:rPr>
                <w:rFonts w:eastAsia="標楷體"/>
                <w:color w:val="000000"/>
              </w:rPr>
              <w:t>、提供最近半年期間每月基金規模資料。</w:t>
            </w:r>
          </w:p>
          <w:p w14:paraId="4E497579" w14:textId="77777777" w:rsidR="009B023F" w:rsidRDefault="0075731A">
            <w:pPr>
              <w:snapToGrid w:val="0"/>
              <w:spacing w:before="120" w:after="120"/>
              <w:ind w:left="890" w:right="60" w:hanging="890"/>
              <w:jc w:val="both"/>
            </w:pPr>
            <w:r>
              <w:rPr>
                <w:rFonts w:eastAsia="標楷體"/>
                <w:color w:val="000000"/>
              </w:rPr>
              <w:t>二十</w:t>
            </w:r>
            <w:r>
              <w:rPr>
                <w:rFonts w:eastAsia="標楷體"/>
              </w:rPr>
              <w:t>二</w:t>
            </w:r>
            <w:r>
              <w:rPr>
                <w:rFonts w:eastAsia="標楷體"/>
                <w:color w:val="000000"/>
              </w:rPr>
              <w:t>、自行評估說明基金及其投資標的市場（包括投資地區）有無流動性疑慮，倘發生流動性問題之相關因應措施為何。</w:t>
            </w:r>
          </w:p>
          <w:p w14:paraId="732C7CA5" w14:textId="77777777" w:rsidR="009B023F" w:rsidRDefault="0075731A">
            <w:pPr>
              <w:snapToGrid w:val="0"/>
              <w:spacing w:before="120" w:after="120"/>
              <w:ind w:left="890" w:right="60" w:hanging="890"/>
              <w:jc w:val="both"/>
            </w:pPr>
            <w:r>
              <w:rPr>
                <w:rFonts w:eastAsia="標楷體"/>
                <w:color w:val="000000"/>
              </w:rPr>
              <w:t>二十</w:t>
            </w:r>
            <w:r>
              <w:rPr>
                <w:rFonts w:eastAsia="標楷體"/>
              </w:rPr>
              <w:t>三</w:t>
            </w:r>
            <w:r>
              <w:rPr>
                <w:rFonts w:eastAsia="標楷體"/>
                <w:color w:val="000000"/>
              </w:rPr>
              <w:t>、檢具申報總代理基金之全球銷售計畫，並說明除註冊地外目前已於哪些國家進行銷售，同時列出該等國家之銷售比重。</w:t>
            </w:r>
          </w:p>
          <w:p w14:paraId="0CB6B00B" w14:textId="77777777" w:rsidR="009B023F" w:rsidRDefault="0075731A">
            <w:pPr>
              <w:snapToGrid w:val="0"/>
              <w:spacing w:before="120" w:after="120"/>
              <w:ind w:left="890" w:right="60" w:hanging="890"/>
              <w:jc w:val="both"/>
            </w:pPr>
            <w:r>
              <w:rPr>
                <w:rFonts w:eastAsia="標楷體"/>
                <w:color w:val="000000"/>
              </w:rPr>
              <w:t>二十</w:t>
            </w:r>
            <w:r>
              <w:rPr>
                <w:rFonts w:eastAsia="標楷體"/>
              </w:rPr>
              <w:t>四</w:t>
            </w:r>
            <w:r>
              <w:rPr>
                <w:rFonts w:eastAsia="標楷體"/>
                <w:color w:val="000000"/>
              </w:rPr>
              <w:t>、說明境外基金管理機構如何控管臺灣投資人投資比重，以符合我國法令規定上限。</w:t>
            </w:r>
            <w:r>
              <w:rPr>
                <w:rFonts w:eastAsia="標楷體"/>
                <w:color w:val="000000"/>
              </w:rPr>
              <w:t>(</w:t>
            </w:r>
            <w:r>
              <w:rPr>
                <w:rFonts w:eastAsia="標楷體"/>
                <w:color w:val="000000"/>
              </w:rPr>
              <w:t>總代理人前業經核准或申報生效募集及銷售同一境外基金管理機構管理之境外基金者，若未有變更得免</w:t>
            </w:r>
            <w:proofErr w:type="gramStart"/>
            <w:r>
              <w:rPr>
                <w:rFonts w:eastAsia="標楷體"/>
                <w:color w:val="000000"/>
              </w:rPr>
              <w:t>附</w:t>
            </w:r>
            <w:proofErr w:type="gramEnd"/>
            <w:r>
              <w:rPr>
                <w:rFonts w:eastAsia="標楷體"/>
                <w:color w:val="000000"/>
              </w:rPr>
              <w:t>，惟應於備註欄敘明，詳填表注意事項</w:t>
            </w:r>
            <w:r>
              <w:rPr>
                <w:rFonts w:eastAsia="標楷體"/>
                <w:color w:val="000000"/>
              </w:rPr>
              <w:t>)</w:t>
            </w:r>
          </w:p>
          <w:p w14:paraId="578C5143" w14:textId="77777777" w:rsidR="009B023F" w:rsidRDefault="0075731A">
            <w:pPr>
              <w:snapToGrid w:val="0"/>
              <w:spacing w:before="120" w:after="120"/>
              <w:ind w:left="890" w:right="60" w:hanging="890"/>
              <w:jc w:val="both"/>
            </w:pPr>
            <w:r>
              <w:rPr>
                <w:rFonts w:eastAsia="標楷體"/>
                <w:color w:val="000000"/>
              </w:rPr>
              <w:t>二十</w:t>
            </w:r>
            <w:r>
              <w:rPr>
                <w:rFonts w:eastAsia="標楷體"/>
              </w:rPr>
              <w:t>五</w:t>
            </w:r>
            <w:r>
              <w:rPr>
                <w:rFonts w:eastAsia="標楷體"/>
                <w:color w:val="000000"/>
              </w:rPr>
              <w:t>、洗錢防制規範。例如：總代理人應說明境外基金註冊地或境外基金管理機構註冊地對我國投資人要求之洗錢防制相關措施及文件，包括其為執行洗錢防制程序而對我國投資人進行客戶審查（</w:t>
            </w:r>
            <w:r>
              <w:rPr>
                <w:rFonts w:eastAsia="標楷體"/>
                <w:color w:val="000000"/>
              </w:rPr>
              <w:t>Customer Due Diligence</w:t>
            </w:r>
            <w:r>
              <w:rPr>
                <w:rFonts w:eastAsia="標楷體"/>
                <w:color w:val="000000"/>
              </w:rPr>
              <w:t>）之實際作法，或對我國執行</w:t>
            </w:r>
            <w:r>
              <w:rPr>
                <w:rFonts w:eastAsia="標楷體"/>
                <w:color w:val="000000"/>
              </w:rPr>
              <w:t>Risk-based approach</w:t>
            </w:r>
            <w:r>
              <w:rPr>
                <w:rFonts w:eastAsia="標楷體"/>
                <w:color w:val="000000"/>
              </w:rPr>
              <w:t>之實際作法，及是否對我國業者要求額外客戶資料。</w:t>
            </w:r>
          </w:p>
          <w:p w14:paraId="3D166B2E" w14:textId="77777777" w:rsidR="009B023F" w:rsidRDefault="0075731A">
            <w:pPr>
              <w:snapToGrid w:val="0"/>
              <w:spacing w:before="120" w:after="120"/>
              <w:ind w:left="890" w:right="60" w:hanging="890"/>
              <w:jc w:val="both"/>
            </w:pPr>
            <w:r>
              <w:rPr>
                <w:rFonts w:eastAsia="標楷體"/>
              </w:rPr>
              <w:lastRenderedPageBreak/>
              <w:t>二十六</w:t>
            </w:r>
            <w:r>
              <w:rPr>
                <w:rFonts w:eastAsia="標楷體"/>
                <w:color w:val="000000"/>
              </w:rPr>
              <w:t>、總代理人自行檢查表（內容及格式如附件三）。</w:t>
            </w:r>
          </w:p>
          <w:p w14:paraId="201A9682"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依境外基金管理辦法規定應申請（報）及</w:t>
            </w:r>
            <w:r>
              <w:rPr>
                <w:rFonts w:eastAsia="標楷體"/>
                <w:color w:val="000000"/>
              </w:rPr>
              <w:t>/</w:t>
            </w:r>
            <w:r>
              <w:rPr>
                <w:rFonts w:eastAsia="標楷體"/>
                <w:color w:val="000000"/>
              </w:rPr>
              <w:t>或公告事項之辦理情形，內容完整無誤。</w:t>
            </w:r>
          </w:p>
          <w:p w14:paraId="370CC80D" w14:textId="77777777" w:rsidR="009B023F" w:rsidRDefault="0075731A">
            <w:pPr>
              <w:snapToGrid w:val="0"/>
              <w:spacing w:before="120" w:after="120"/>
              <w:ind w:left="948" w:right="6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有異常情事時，應同時說明具體改善措施。</w:t>
            </w:r>
          </w:p>
          <w:p w14:paraId="006377DD" w14:textId="77777777" w:rsidR="009B023F" w:rsidRDefault="0075731A">
            <w:pPr>
              <w:snapToGrid w:val="0"/>
              <w:spacing w:before="120" w:after="120"/>
              <w:ind w:left="890" w:right="60" w:hanging="890"/>
              <w:jc w:val="both"/>
            </w:pPr>
            <w:r>
              <w:rPr>
                <w:rFonts w:eastAsia="標楷體"/>
              </w:rPr>
              <w:t>二十七</w:t>
            </w:r>
            <w:r>
              <w:rPr>
                <w:rFonts w:eastAsia="標楷體"/>
                <w:color w:val="000000"/>
              </w:rPr>
              <w:t>、總代理人自行檢查表之內容正確無誤及完整之聲明書（內容及格式如附件四）。</w:t>
            </w:r>
          </w:p>
          <w:p w14:paraId="02FA044C" w14:textId="77777777" w:rsidR="009B023F" w:rsidRDefault="0075731A">
            <w:pPr>
              <w:snapToGrid w:val="0"/>
              <w:spacing w:before="120" w:after="120"/>
              <w:ind w:left="890" w:right="60" w:hanging="890"/>
              <w:jc w:val="both"/>
              <w:rPr>
                <w:rFonts w:eastAsia="標楷體"/>
              </w:rPr>
            </w:pPr>
            <w:r>
              <w:rPr>
                <w:rFonts w:eastAsia="標楷體"/>
              </w:rPr>
              <w:t>二十八、基金如</w:t>
            </w:r>
            <w:proofErr w:type="gramStart"/>
            <w:r>
              <w:rPr>
                <w:rFonts w:eastAsia="標楷體"/>
              </w:rPr>
              <w:t>採</w:t>
            </w:r>
            <w:proofErr w:type="gramEnd"/>
            <w:r>
              <w:rPr>
                <w:rFonts w:eastAsia="標楷體"/>
              </w:rPr>
              <w:t>公平價格調整機制或反稀釋機制之相關說明資料，包含適用時機、啟動理由、對投資人影響、最近一次採用該等機制之情形，基金管理機構如何確保該等機制之合理性及公平性等。</w:t>
            </w:r>
          </w:p>
          <w:p w14:paraId="4C839520" w14:textId="77777777" w:rsidR="009B023F" w:rsidRDefault="0075731A">
            <w:pPr>
              <w:snapToGrid w:val="0"/>
              <w:spacing w:before="120" w:after="120"/>
              <w:ind w:left="890" w:right="60" w:hanging="890"/>
              <w:jc w:val="both"/>
            </w:pPr>
            <w:r>
              <w:rPr>
                <w:rFonts w:eastAsia="標楷體"/>
              </w:rPr>
              <w:t>二十九</w:t>
            </w:r>
            <w:r>
              <w:rPr>
                <w:rFonts w:eastAsia="標楷體"/>
                <w:color w:val="000000"/>
              </w:rPr>
              <w:t>、說明暫停銷售機構或投資人帳戶交易事項。</w:t>
            </w:r>
          </w:p>
          <w:p w14:paraId="6EFCD9B5" w14:textId="77777777" w:rsidR="009B023F" w:rsidRDefault="0075731A">
            <w:pPr>
              <w:snapToGrid w:val="0"/>
              <w:spacing w:before="120" w:after="120"/>
              <w:ind w:left="1140" w:right="6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境外基金管理機構於執行洗錢防制作業時，發生暫停銷售機構或投資人帳戶交易之情形（包括執行依據及實務作法）。</w:t>
            </w:r>
          </w:p>
          <w:p w14:paraId="7538E0A6" w14:textId="77777777" w:rsidR="009B023F" w:rsidRDefault="0075731A">
            <w:pPr>
              <w:snapToGrid w:val="0"/>
              <w:spacing w:before="120" w:after="120"/>
              <w:ind w:left="1140" w:right="6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除執行洗錢防制作業外，發生其他暫停銷售機構或投資人帳戶交易之情形（包括執行依據及實務作法）。</w:t>
            </w:r>
          </w:p>
          <w:p w14:paraId="220F2FBA" w14:textId="77777777" w:rsidR="009B023F" w:rsidRDefault="0075731A">
            <w:pPr>
              <w:snapToGrid w:val="0"/>
              <w:spacing w:before="120" w:after="120"/>
              <w:ind w:left="1140" w:right="60" w:hanging="420"/>
              <w:jc w:val="both"/>
              <w:rPr>
                <w:rFonts w:eastAsia="標楷體"/>
                <w:color w:val="000000"/>
              </w:rPr>
            </w:pPr>
            <w:r>
              <w:rPr>
                <w:rFonts w:eastAsia="標楷體"/>
                <w:color w:val="000000"/>
              </w:rPr>
              <w:t>(</w:t>
            </w:r>
            <w:r>
              <w:rPr>
                <w:rFonts w:eastAsia="標楷體"/>
                <w:color w:val="000000"/>
              </w:rPr>
              <w:t>三</w:t>
            </w:r>
            <w:r>
              <w:rPr>
                <w:rFonts w:eastAsia="標楷體"/>
                <w:color w:val="000000"/>
              </w:rPr>
              <w:t>)</w:t>
            </w:r>
            <w:r>
              <w:rPr>
                <w:rFonts w:eastAsia="標楷體"/>
                <w:color w:val="000000"/>
              </w:rPr>
              <w:t>銷售機構或投資人帳戶被境外基金機構暫停交易後，如何保障我國投資人權益，請說明具體措施為何。</w:t>
            </w:r>
          </w:p>
          <w:p w14:paraId="3BA6A9F1" w14:textId="77777777" w:rsidR="009B023F" w:rsidRDefault="0075731A">
            <w:pPr>
              <w:snapToGrid w:val="0"/>
              <w:spacing w:before="120" w:after="120"/>
              <w:ind w:left="692" w:right="60" w:hanging="692"/>
              <w:jc w:val="both"/>
              <w:rPr>
                <w:rFonts w:eastAsia="標楷體"/>
                <w:color w:val="000000"/>
              </w:rPr>
            </w:pPr>
            <w:r>
              <w:rPr>
                <w:rFonts w:eastAsia="標楷體"/>
                <w:color w:val="000000"/>
              </w:rPr>
              <w:t>三十、申報基金</w:t>
            </w:r>
            <w:proofErr w:type="gramStart"/>
            <w:r>
              <w:rPr>
                <w:rFonts w:eastAsia="標楷體"/>
                <w:color w:val="000000"/>
              </w:rPr>
              <w:t>上架前</w:t>
            </w:r>
            <w:proofErr w:type="gramEnd"/>
            <w:r>
              <w:rPr>
                <w:rFonts w:eastAsia="標楷體"/>
                <w:color w:val="000000"/>
              </w:rPr>
              <w:t>KYP</w:t>
            </w:r>
            <w:r>
              <w:rPr>
                <w:rFonts w:eastAsia="標楷體"/>
                <w:color w:val="000000"/>
              </w:rPr>
              <w:t>及風險等級報酬評估審查作業之執行情形。</w:t>
            </w:r>
          </w:p>
          <w:p w14:paraId="03D2654F" w14:textId="77777777" w:rsidR="009B023F" w:rsidRDefault="0075731A">
            <w:pPr>
              <w:snapToGrid w:val="0"/>
              <w:spacing w:before="120" w:after="120"/>
              <w:ind w:left="890" w:right="60" w:hanging="890"/>
              <w:jc w:val="both"/>
            </w:pPr>
            <w:r>
              <w:rPr>
                <w:rFonts w:eastAsia="標楷體"/>
                <w:color w:val="000000"/>
              </w:rPr>
              <w:t>三十</w:t>
            </w:r>
            <w:r>
              <w:rPr>
                <w:rFonts w:eastAsia="標楷體"/>
              </w:rPr>
              <w:t>一</w:t>
            </w:r>
            <w:r>
              <w:rPr>
                <w:rFonts w:eastAsia="標楷體"/>
                <w:color w:val="000000"/>
              </w:rPr>
              <w:t>、基金擬在</w:t>
            </w:r>
            <w:proofErr w:type="gramStart"/>
            <w:r>
              <w:rPr>
                <w:rFonts w:eastAsia="標楷體"/>
                <w:color w:val="000000"/>
              </w:rPr>
              <w:t>臺</w:t>
            </w:r>
            <w:proofErr w:type="gramEnd"/>
            <w:r>
              <w:rPr>
                <w:rFonts w:eastAsia="標楷體"/>
                <w:color w:val="000000"/>
              </w:rPr>
              <w:t>銷售級別之成立日期、目前規模及主要銷售地區，並與其他級別就相關事項</w:t>
            </w:r>
            <w:r>
              <w:rPr>
                <w:rFonts w:eastAsia="標楷體"/>
                <w:color w:val="000000"/>
              </w:rPr>
              <w:t>(</w:t>
            </w:r>
            <w:r>
              <w:rPr>
                <w:rFonts w:eastAsia="標楷體"/>
                <w:color w:val="000000"/>
              </w:rPr>
              <w:t>如費率、配息、前收型或後收型手續費等</w:t>
            </w:r>
            <w:r>
              <w:rPr>
                <w:rFonts w:eastAsia="標楷體"/>
                <w:color w:val="000000"/>
              </w:rPr>
              <w:t>)</w:t>
            </w:r>
            <w:r>
              <w:rPr>
                <w:rFonts w:eastAsia="標楷體"/>
                <w:color w:val="000000"/>
              </w:rPr>
              <w:t>差異比較，以及是否對我國投資人有不公平之情事。</w:t>
            </w:r>
          </w:p>
          <w:p w14:paraId="39854A9C" w14:textId="77777777" w:rsidR="009B023F" w:rsidRDefault="0075731A">
            <w:pPr>
              <w:snapToGrid w:val="0"/>
              <w:spacing w:before="120" w:after="120"/>
              <w:ind w:left="890" w:right="60" w:hanging="890"/>
              <w:jc w:val="both"/>
            </w:pPr>
            <w:r>
              <w:rPr>
                <w:rFonts w:eastAsia="標楷體"/>
                <w:color w:val="000000"/>
              </w:rPr>
              <w:t>三十</w:t>
            </w:r>
            <w:r>
              <w:rPr>
                <w:rFonts w:eastAsia="標楷體"/>
              </w:rPr>
              <w:t>二</w:t>
            </w:r>
            <w:r>
              <w:rPr>
                <w:rFonts w:eastAsia="標楷體"/>
                <w:color w:val="000000"/>
              </w:rPr>
              <w:t>、說明基金</w:t>
            </w:r>
            <w:proofErr w:type="gramStart"/>
            <w:r>
              <w:rPr>
                <w:rFonts w:eastAsia="標楷體"/>
                <w:color w:val="000000"/>
              </w:rPr>
              <w:t>如經集保</w:t>
            </w:r>
            <w:proofErr w:type="gramEnd"/>
            <w:r>
              <w:rPr>
                <w:rFonts w:eastAsia="標楷體"/>
                <w:color w:val="000000"/>
              </w:rPr>
              <w:t>申報生效在國內募集及銷售，未來一年是否有在國內新增銷售級別之規劃，如有，請說明包括但不限於下列事項：</w:t>
            </w:r>
          </w:p>
          <w:p w14:paraId="498C2461" w14:textId="77777777" w:rsidR="009B023F" w:rsidRDefault="0075731A">
            <w:pPr>
              <w:snapToGrid w:val="0"/>
              <w:spacing w:before="120" w:after="120"/>
              <w:ind w:left="1140" w:right="60" w:hanging="420"/>
              <w:jc w:val="both"/>
              <w:rPr>
                <w:rFonts w:eastAsia="標楷體"/>
                <w:color w:val="000000"/>
              </w:rPr>
            </w:pPr>
            <w:r>
              <w:rPr>
                <w:rFonts w:eastAsia="標楷體"/>
                <w:color w:val="000000"/>
              </w:rPr>
              <w:lastRenderedPageBreak/>
              <w:t>(</w:t>
            </w:r>
            <w:proofErr w:type="gramStart"/>
            <w:r>
              <w:rPr>
                <w:rFonts w:eastAsia="標楷體"/>
                <w:color w:val="000000"/>
              </w:rPr>
              <w:t>一</w:t>
            </w:r>
            <w:proofErr w:type="gramEnd"/>
            <w:r>
              <w:rPr>
                <w:rFonts w:eastAsia="標楷體"/>
                <w:color w:val="000000"/>
              </w:rPr>
              <w:t>)</w:t>
            </w:r>
            <w:r>
              <w:rPr>
                <w:rFonts w:eastAsia="標楷體"/>
                <w:color w:val="000000"/>
              </w:rPr>
              <w:t>具體說明於集保申報生效後，未來一年於我國新增銷售級別之理由。</w:t>
            </w:r>
          </w:p>
          <w:p w14:paraId="205C71AF" w14:textId="77777777" w:rsidR="009B023F" w:rsidRDefault="0075731A">
            <w:pPr>
              <w:snapToGrid w:val="0"/>
              <w:spacing w:before="120" w:after="120"/>
              <w:ind w:left="1140" w:right="6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擬新增之銷售級別於其他國家之銷售情形，是否僅於我國銷售，且該等級別相關費用、交易條件及權利義務是否與國外投資人相同。如有差異，請說明其合理性。</w:t>
            </w:r>
          </w:p>
          <w:p w14:paraId="15821540" w14:textId="77777777" w:rsidR="009B023F" w:rsidRDefault="0075731A">
            <w:pPr>
              <w:snapToGrid w:val="0"/>
              <w:spacing w:before="120" w:after="120"/>
              <w:ind w:left="890" w:right="60" w:hanging="890"/>
              <w:jc w:val="both"/>
            </w:pPr>
            <w:r>
              <w:rPr>
                <w:rFonts w:eastAsia="標楷體"/>
                <w:color w:val="000000"/>
              </w:rPr>
              <w:t>三十</w:t>
            </w:r>
            <w:r>
              <w:rPr>
                <w:rFonts w:eastAsia="標楷體"/>
              </w:rPr>
              <w:t>三</w:t>
            </w:r>
            <w:r>
              <w:rPr>
                <w:rFonts w:eastAsia="標楷體"/>
                <w:color w:val="000000"/>
              </w:rPr>
              <w:t>、申報環境、社會及治理（</w:t>
            </w:r>
            <w:r>
              <w:rPr>
                <w:rFonts w:eastAsia="標楷體"/>
                <w:color w:val="000000"/>
              </w:rPr>
              <w:t>ESG</w:t>
            </w:r>
            <w:r>
              <w:rPr>
                <w:rFonts w:eastAsia="標楷體"/>
                <w:color w:val="000000"/>
              </w:rPr>
              <w:t>）相關主題基金（下稱</w:t>
            </w:r>
            <w:r>
              <w:rPr>
                <w:rFonts w:eastAsia="標楷體"/>
                <w:color w:val="000000"/>
              </w:rPr>
              <w:t>ESG</w:t>
            </w:r>
            <w:r>
              <w:rPr>
                <w:rFonts w:eastAsia="標楷體"/>
                <w:color w:val="000000"/>
              </w:rPr>
              <w:t>基金），應載明下列事項：</w:t>
            </w:r>
          </w:p>
          <w:p w14:paraId="3A760773" w14:textId="77777777" w:rsidR="009B023F" w:rsidRDefault="0075731A">
            <w:pPr>
              <w:tabs>
                <w:tab w:val="left" w:pos="3752"/>
              </w:tabs>
              <w:spacing w:line="320" w:lineRule="exact"/>
              <w:ind w:left="114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投資目標與衡量標準：</w:t>
            </w:r>
          </w:p>
          <w:p w14:paraId="5D08A064"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1.</w:t>
            </w:r>
            <w:r>
              <w:rPr>
                <w:rFonts w:eastAsia="標楷體"/>
                <w:color w:val="000000"/>
              </w:rPr>
              <w:t>是否參考國際組織發布準則或國內外公認</w:t>
            </w:r>
            <w:r>
              <w:rPr>
                <w:rFonts w:eastAsia="標楷體"/>
                <w:color w:val="000000"/>
              </w:rPr>
              <w:t>ESG</w:t>
            </w:r>
            <w:r>
              <w:rPr>
                <w:rFonts w:eastAsia="標楷體"/>
                <w:color w:val="000000"/>
              </w:rPr>
              <w:t>分類或揭露標準設定永續投資目標（如參考國內外公認</w:t>
            </w:r>
            <w:r>
              <w:rPr>
                <w:rFonts w:eastAsia="標楷體"/>
                <w:color w:val="000000"/>
              </w:rPr>
              <w:t>ESG</w:t>
            </w:r>
            <w:r>
              <w:rPr>
                <w:rFonts w:eastAsia="標楷體"/>
                <w:color w:val="000000"/>
              </w:rPr>
              <w:t>分類或揭露標準，包括但不限聯合國發布的國際準則、歐盟永續分類標準、</w:t>
            </w:r>
            <w:r>
              <w:rPr>
                <w:rFonts w:eastAsia="標楷體"/>
                <w:color w:val="000000"/>
              </w:rPr>
              <w:t>GRI</w:t>
            </w:r>
            <w:r>
              <w:rPr>
                <w:rFonts w:eastAsia="標楷體"/>
                <w:color w:val="000000"/>
              </w:rPr>
              <w:t>及</w:t>
            </w:r>
            <w:r>
              <w:rPr>
                <w:rFonts w:eastAsia="標楷體"/>
                <w:color w:val="000000"/>
              </w:rPr>
              <w:t xml:space="preserve">SASB </w:t>
            </w:r>
            <w:r>
              <w:rPr>
                <w:rFonts w:eastAsia="標楷體"/>
                <w:color w:val="000000"/>
              </w:rPr>
              <w:t>等國際組織所擬定永續揭露標準）？</w:t>
            </w:r>
          </w:p>
          <w:p w14:paraId="2EFDFF76"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2.</w:t>
            </w:r>
            <w:r>
              <w:rPr>
                <w:rFonts w:eastAsia="標楷體"/>
                <w:color w:val="000000"/>
              </w:rPr>
              <w:t>基金名稱是否能正確反映永續投資目標，是否具體說明基金名稱與永續投資目標之關聯性？</w:t>
            </w:r>
          </w:p>
          <w:p w14:paraId="613E1141"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3.</w:t>
            </w:r>
            <w:r>
              <w:rPr>
                <w:rFonts w:eastAsia="標楷體"/>
                <w:color w:val="000000"/>
              </w:rPr>
              <w:t>是否參考國內外公認</w:t>
            </w:r>
            <w:r>
              <w:rPr>
                <w:rFonts w:eastAsia="標楷體"/>
                <w:color w:val="000000"/>
              </w:rPr>
              <w:t>ESG</w:t>
            </w:r>
            <w:r>
              <w:rPr>
                <w:rFonts w:eastAsia="標楷體"/>
                <w:color w:val="000000"/>
              </w:rPr>
              <w:t>分類或揭露標準，訂定具體關鍵績效指標衡量被投資公司對環境、社會及治理等面向的表現？</w:t>
            </w:r>
          </w:p>
          <w:p w14:paraId="2528DE14" w14:textId="77777777" w:rsidR="009B023F" w:rsidRDefault="0075731A">
            <w:pPr>
              <w:tabs>
                <w:tab w:val="left" w:pos="3752"/>
              </w:tabs>
              <w:spacing w:line="320" w:lineRule="exact"/>
              <w:ind w:left="114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投資策略與方法：</w:t>
            </w:r>
          </w:p>
          <w:p w14:paraId="2BDC7B96"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1.</w:t>
            </w:r>
            <w:r>
              <w:rPr>
                <w:rFonts w:eastAsia="標楷體"/>
                <w:color w:val="000000"/>
              </w:rPr>
              <w:t>基金為達成永續投資目標所採用投資策略為何？（如正面</w:t>
            </w:r>
            <w:r>
              <w:rPr>
                <w:rFonts w:eastAsia="標楷體"/>
                <w:color w:val="000000"/>
              </w:rPr>
              <w:t>/</w:t>
            </w:r>
            <w:r>
              <w:rPr>
                <w:rFonts w:eastAsia="標楷體"/>
                <w:color w:val="000000"/>
              </w:rPr>
              <w:t>同業較佳篩選、</w:t>
            </w:r>
            <w:r>
              <w:rPr>
                <w:rFonts w:eastAsia="標楷體"/>
                <w:color w:val="000000"/>
              </w:rPr>
              <w:t>ESG</w:t>
            </w:r>
            <w:r>
              <w:rPr>
                <w:rFonts w:eastAsia="標楷體"/>
                <w:color w:val="000000"/>
              </w:rPr>
              <w:t>整合投資分析、永續主題式投資、影響力投資等）？</w:t>
            </w:r>
          </w:p>
          <w:p w14:paraId="447DE68F"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2.</w:t>
            </w:r>
            <w:r>
              <w:rPr>
                <w:rFonts w:eastAsia="標楷體"/>
                <w:color w:val="000000"/>
              </w:rPr>
              <w:t>是否明確說明</w:t>
            </w:r>
            <w:r>
              <w:rPr>
                <w:rFonts w:eastAsia="標楷體"/>
                <w:color w:val="000000"/>
              </w:rPr>
              <w:t>ESG</w:t>
            </w:r>
            <w:r>
              <w:rPr>
                <w:rFonts w:eastAsia="標楷體"/>
                <w:color w:val="000000"/>
              </w:rPr>
              <w:t>相關因素之考慮過程</w:t>
            </w:r>
            <w:proofErr w:type="gramStart"/>
            <w:r>
              <w:rPr>
                <w:rFonts w:eastAsia="標楷體"/>
                <w:color w:val="000000"/>
              </w:rPr>
              <w:t>（</w:t>
            </w:r>
            <w:proofErr w:type="gramEnd"/>
            <w:r>
              <w:rPr>
                <w:rFonts w:eastAsia="標楷體"/>
                <w:color w:val="000000"/>
              </w:rPr>
              <w:t>如：過濾因子、指標、評等、第三方認證或標章等</w:t>
            </w:r>
            <w:proofErr w:type="gramStart"/>
            <w:r>
              <w:rPr>
                <w:rFonts w:eastAsia="標楷體"/>
                <w:color w:val="000000"/>
              </w:rPr>
              <w:t>）</w:t>
            </w:r>
            <w:proofErr w:type="gramEnd"/>
            <w:r>
              <w:rPr>
                <w:rFonts w:eastAsia="標楷體"/>
                <w:color w:val="000000"/>
              </w:rPr>
              <w:t>以及衡量這些因素之評估衡量方法（包括環境、社會及治理三個面向分別考慮之評估項目、各項目評分標準、評估項目權重計算方式、分析數據之資料來源）？</w:t>
            </w:r>
          </w:p>
          <w:p w14:paraId="2D02D737"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3.</w:t>
            </w:r>
            <w:r>
              <w:rPr>
                <w:rFonts w:eastAsia="標楷體"/>
                <w:color w:val="000000"/>
              </w:rPr>
              <w:t>是否說明將</w:t>
            </w:r>
            <w:r>
              <w:rPr>
                <w:rFonts w:eastAsia="標楷體"/>
                <w:color w:val="000000"/>
              </w:rPr>
              <w:t>ESG</w:t>
            </w:r>
            <w:r>
              <w:rPr>
                <w:rFonts w:eastAsia="標楷體"/>
                <w:color w:val="000000"/>
              </w:rPr>
              <w:t>因素納入投資流程之具體做法？</w:t>
            </w:r>
            <w:proofErr w:type="gramStart"/>
            <w:r>
              <w:rPr>
                <w:rFonts w:eastAsia="標楷體"/>
                <w:color w:val="000000"/>
              </w:rPr>
              <w:t>（</w:t>
            </w:r>
            <w:proofErr w:type="gramEnd"/>
            <w:r>
              <w:rPr>
                <w:rFonts w:eastAsia="標楷體"/>
                <w:color w:val="000000"/>
              </w:rPr>
              <w:t>採用內部或外部</w:t>
            </w:r>
            <w:r>
              <w:rPr>
                <w:rFonts w:eastAsia="標楷體"/>
                <w:color w:val="000000"/>
              </w:rPr>
              <w:t>ESG</w:t>
            </w:r>
            <w:r>
              <w:rPr>
                <w:rFonts w:eastAsia="標楷體"/>
                <w:color w:val="000000"/>
              </w:rPr>
              <w:t>分析評估系統？採用的分析評估方法如何衡量被投資公司</w:t>
            </w:r>
            <w:r>
              <w:rPr>
                <w:rFonts w:eastAsia="標楷體"/>
                <w:color w:val="000000"/>
              </w:rPr>
              <w:t>ESG</w:t>
            </w:r>
            <w:r>
              <w:rPr>
                <w:rFonts w:eastAsia="標楷體"/>
                <w:color w:val="000000"/>
              </w:rPr>
              <w:lastRenderedPageBreak/>
              <w:t>表現？如何確保在基金投資管理流程中考量被投資公司</w:t>
            </w:r>
            <w:r>
              <w:rPr>
                <w:rFonts w:eastAsia="標楷體"/>
                <w:color w:val="000000"/>
              </w:rPr>
              <w:t>ESG</w:t>
            </w:r>
            <w:r>
              <w:rPr>
                <w:rFonts w:eastAsia="標楷體"/>
                <w:color w:val="000000"/>
              </w:rPr>
              <w:t>表現與相關風險？）</w:t>
            </w:r>
          </w:p>
          <w:p w14:paraId="61071599" w14:textId="77777777" w:rsidR="009B023F" w:rsidRDefault="0075731A">
            <w:pPr>
              <w:tabs>
                <w:tab w:val="left" w:pos="3752"/>
              </w:tabs>
              <w:spacing w:line="320" w:lineRule="exact"/>
              <w:ind w:left="1140" w:hanging="420"/>
              <w:jc w:val="both"/>
              <w:rPr>
                <w:rFonts w:eastAsia="標楷體"/>
                <w:color w:val="000000"/>
              </w:rPr>
            </w:pPr>
            <w:r>
              <w:rPr>
                <w:rFonts w:eastAsia="標楷體"/>
                <w:color w:val="000000"/>
              </w:rPr>
              <w:t>(</w:t>
            </w:r>
            <w:r>
              <w:rPr>
                <w:rFonts w:eastAsia="標楷體"/>
                <w:color w:val="000000"/>
              </w:rPr>
              <w:t>三</w:t>
            </w:r>
            <w:r>
              <w:rPr>
                <w:rFonts w:eastAsia="標楷體"/>
                <w:color w:val="000000"/>
              </w:rPr>
              <w:t>)</w:t>
            </w:r>
            <w:r>
              <w:rPr>
                <w:rFonts w:eastAsia="標楷體"/>
                <w:color w:val="000000"/>
              </w:rPr>
              <w:t>投資比例配置：</w:t>
            </w:r>
          </w:p>
          <w:p w14:paraId="67D46665"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1.</w:t>
            </w:r>
            <w:r>
              <w:rPr>
                <w:rFonts w:eastAsia="標楷體"/>
                <w:color w:val="000000"/>
              </w:rPr>
              <w:t>基金配置符合</w:t>
            </w:r>
            <w:r>
              <w:rPr>
                <w:rFonts w:eastAsia="標楷體"/>
                <w:color w:val="000000"/>
              </w:rPr>
              <w:t>ESG</w:t>
            </w:r>
            <w:r>
              <w:rPr>
                <w:rFonts w:eastAsia="標楷體"/>
                <w:color w:val="000000"/>
              </w:rPr>
              <w:t>投資重點之資產最低投資比率是否已達</w:t>
            </w:r>
            <w:r>
              <w:rPr>
                <w:rFonts w:eastAsia="標楷體"/>
                <w:color w:val="000000"/>
              </w:rPr>
              <w:t>70%</w:t>
            </w:r>
            <w:r>
              <w:rPr>
                <w:rFonts w:eastAsia="標楷體"/>
                <w:color w:val="000000"/>
              </w:rPr>
              <w:t>以上？</w:t>
            </w:r>
          </w:p>
          <w:p w14:paraId="5A692C66"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2.</w:t>
            </w:r>
            <w:r>
              <w:rPr>
                <w:rFonts w:eastAsia="標楷體"/>
                <w:color w:val="000000"/>
              </w:rPr>
              <w:t>公司提供基金投資組合，其</w:t>
            </w:r>
            <w:r>
              <w:rPr>
                <w:rFonts w:eastAsia="標楷體"/>
                <w:color w:val="000000"/>
              </w:rPr>
              <w:t>ESG</w:t>
            </w:r>
            <w:r>
              <w:rPr>
                <w:rFonts w:eastAsia="標楷體"/>
                <w:color w:val="000000"/>
              </w:rPr>
              <w:t>表現評等分布結果是否合理？</w:t>
            </w:r>
          </w:p>
          <w:p w14:paraId="0FD91AA0"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3.</w:t>
            </w:r>
            <w:r>
              <w:rPr>
                <w:rFonts w:eastAsia="標楷體"/>
                <w:color w:val="000000"/>
              </w:rPr>
              <w:t>基金投資於</w:t>
            </w:r>
            <w:proofErr w:type="gramStart"/>
            <w:r>
              <w:rPr>
                <w:rFonts w:eastAsia="標楷體"/>
                <w:color w:val="000000"/>
              </w:rPr>
              <w:t>高排碳、</w:t>
            </w:r>
            <w:proofErr w:type="gramEnd"/>
            <w:r>
              <w:rPr>
                <w:rFonts w:eastAsia="標楷體"/>
                <w:color w:val="000000"/>
              </w:rPr>
              <w:t>高汙染、高耗水產業（如水泥、塑膠、鋼鐵、煤礦及石化燃料產業）之比重是否過高？</w:t>
            </w:r>
          </w:p>
          <w:p w14:paraId="16DF303D" w14:textId="77777777" w:rsidR="009B023F" w:rsidRDefault="0075731A">
            <w:pPr>
              <w:tabs>
                <w:tab w:val="left" w:pos="3752"/>
              </w:tabs>
              <w:spacing w:line="320" w:lineRule="exact"/>
              <w:ind w:left="1140" w:hanging="420"/>
              <w:jc w:val="both"/>
              <w:rPr>
                <w:rFonts w:eastAsia="標楷體"/>
                <w:color w:val="000000"/>
              </w:rPr>
            </w:pPr>
            <w:r>
              <w:rPr>
                <w:rFonts w:eastAsia="標楷體"/>
                <w:color w:val="000000"/>
              </w:rPr>
              <w:t>(</w:t>
            </w:r>
            <w:r>
              <w:rPr>
                <w:rFonts w:eastAsia="標楷體"/>
                <w:color w:val="000000"/>
              </w:rPr>
              <w:t>四</w:t>
            </w:r>
            <w:r>
              <w:rPr>
                <w:rFonts w:eastAsia="標楷體"/>
                <w:color w:val="000000"/>
              </w:rPr>
              <w:t>)</w:t>
            </w:r>
            <w:r>
              <w:rPr>
                <w:rFonts w:eastAsia="標楷體"/>
                <w:color w:val="000000"/>
              </w:rPr>
              <w:t>參考績效指標：</w:t>
            </w:r>
          </w:p>
          <w:p w14:paraId="0B4A4BE9"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1.</w:t>
            </w:r>
            <w:r>
              <w:rPr>
                <w:rFonts w:eastAsia="標楷體"/>
                <w:color w:val="000000"/>
              </w:rPr>
              <w:t>如有設定</w:t>
            </w:r>
            <w:r>
              <w:rPr>
                <w:rFonts w:eastAsia="標楷體"/>
                <w:color w:val="000000"/>
              </w:rPr>
              <w:t>ESG</w:t>
            </w:r>
            <w:r>
              <w:rPr>
                <w:rFonts w:eastAsia="標楷體"/>
                <w:color w:val="000000"/>
              </w:rPr>
              <w:t>參考績效指標，是否說明所</w:t>
            </w:r>
            <w:proofErr w:type="gramStart"/>
            <w:r>
              <w:rPr>
                <w:rFonts w:eastAsia="標楷體"/>
                <w:color w:val="000000"/>
              </w:rPr>
              <w:t>採</w:t>
            </w:r>
            <w:proofErr w:type="gramEnd"/>
            <w:r>
              <w:rPr>
                <w:rFonts w:eastAsia="標楷體"/>
                <w:color w:val="000000"/>
              </w:rPr>
              <w:t>指標之重要資訊與特性？</w:t>
            </w:r>
          </w:p>
          <w:p w14:paraId="3C4EE284"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2.</w:t>
            </w:r>
            <w:r>
              <w:rPr>
                <w:rFonts w:eastAsia="標楷體"/>
                <w:color w:val="000000"/>
              </w:rPr>
              <w:t>參考績效指標如非屬</w:t>
            </w:r>
            <w:r>
              <w:rPr>
                <w:rFonts w:eastAsia="標楷體"/>
                <w:color w:val="000000"/>
              </w:rPr>
              <w:t xml:space="preserve">ESG </w:t>
            </w:r>
            <w:r>
              <w:rPr>
                <w:rFonts w:eastAsia="標楷體"/>
                <w:color w:val="000000"/>
              </w:rPr>
              <w:t>或永續概念指數，是否說明該指標如何與基金</w:t>
            </w:r>
            <w:r>
              <w:rPr>
                <w:rFonts w:eastAsia="標楷體"/>
                <w:color w:val="000000"/>
              </w:rPr>
              <w:t>ESG</w:t>
            </w:r>
            <w:r>
              <w:rPr>
                <w:rFonts w:eastAsia="標楷體"/>
                <w:color w:val="000000"/>
              </w:rPr>
              <w:t>投資重點保持一致？</w:t>
            </w:r>
            <w:r>
              <w:rPr>
                <w:rFonts w:eastAsia="標楷體"/>
                <w:color w:val="000000"/>
              </w:rPr>
              <w:t xml:space="preserve"> </w:t>
            </w:r>
          </w:p>
          <w:p w14:paraId="3954B69F" w14:textId="77777777" w:rsidR="009B023F" w:rsidRDefault="0075731A">
            <w:pPr>
              <w:tabs>
                <w:tab w:val="left" w:pos="3752"/>
              </w:tabs>
              <w:spacing w:line="320" w:lineRule="exact"/>
              <w:ind w:left="1140" w:hanging="420"/>
              <w:jc w:val="both"/>
              <w:rPr>
                <w:rFonts w:eastAsia="標楷體"/>
                <w:color w:val="000000"/>
              </w:rPr>
            </w:pPr>
            <w:r>
              <w:rPr>
                <w:rFonts w:eastAsia="標楷體"/>
                <w:color w:val="000000"/>
              </w:rPr>
              <w:t>(</w:t>
            </w:r>
            <w:r>
              <w:rPr>
                <w:rFonts w:eastAsia="標楷體"/>
                <w:color w:val="000000"/>
              </w:rPr>
              <w:t>五</w:t>
            </w:r>
            <w:r>
              <w:rPr>
                <w:rFonts w:eastAsia="標楷體"/>
                <w:color w:val="000000"/>
              </w:rPr>
              <w:t>)</w:t>
            </w:r>
            <w:r>
              <w:rPr>
                <w:rFonts w:eastAsia="標楷體"/>
                <w:color w:val="000000"/>
              </w:rPr>
              <w:t>排除政策：說明基金投資是否訂有排除政策或排除的類型（如避免投資軍火武器、酒類、賭博、色情及煙草行業、違反聯合國全球盟約等標的，或禁止投資主要營業收入來自動力煤開採或電力生產主要來自煤炭的公司）。</w:t>
            </w:r>
          </w:p>
          <w:p w14:paraId="01EED558" w14:textId="77777777" w:rsidR="009B023F" w:rsidRDefault="0075731A">
            <w:pPr>
              <w:tabs>
                <w:tab w:val="left" w:pos="3752"/>
              </w:tabs>
              <w:spacing w:line="320" w:lineRule="exact"/>
              <w:ind w:left="1140" w:hanging="420"/>
              <w:jc w:val="both"/>
              <w:rPr>
                <w:rFonts w:eastAsia="標楷體"/>
                <w:color w:val="000000"/>
              </w:rPr>
            </w:pPr>
            <w:r>
              <w:rPr>
                <w:rFonts w:eastAsia="標楷體"/>
                <w:color w:val="000000"/>
              </w:rPr>
              <w:t>(</w:t>
            </w:r>
            <w:r>
              <w:rPr>
                <w:rFonts w:eastAsia="標楷體"/>
                <w:color w:val="000000"/>
              </w:rPr>
              <w:t>六</w:t>
            </w:r>
            <w:r>
              <w:rPr>
                <w:rFonts w:eastAsia="標楷體"/>
                <w:color w:val="000000"/>
              </w:rPr>
              <w:t>)</w:t>
            </w:r>
            <w:r>
              <w:rPr>
                <w:rFonts w:eastAsia="標楷體"/>
                <w:color w:val="000000"/>
              </w:rPr>
              <w:t>風險警語：是否考量</w:t>
            </w:r>
            <w:r>
              <w:rPr>
                <w:rFonts w:eastAsia="標楷體"/>
                <w:color w:val="000000"/>
              </w:rPr>
              <w:t>ESG</w:t>
            </w:r>
            <w:r>
              <w:rPr>
                <w:rFonts w:eastAsia="標楷體"/>
                <w:color w:val="000000"/>
              </w:rPr>
              <w:t>基金特色訂定相關風險警語（如方法及資料之限制、缺乏標準之分類法、投資選擇之主觀判斷、對第三方資料來源之依賴、對特定</w:t>
            </w:r>
            <w:r>
              <w:rPr>
                <w:rFonts w:eastAsia="標楷體"/>
                <w:color w:val="000000"/>
              </w:rPr>
              <w:t>ESG</w:t>
            </w:r>
            <w:r>
              <w:rPr>
                <w:rFonts w:eastAsia="標楷體"/>
                <w:color w:val="000000"/>
              </w:rPr>
              <w:t>投資重點之集中度風險等）。</w:t>
            </w:r>
          </w:p>
          <w:p w14:paraId="427B53CE" w14:textId="77777777" w:rsidR="009B023F" w:rsidRDefault="0075731A">
            <w:pPr>
              <w:tabs>
                <w:tab w:val="left" w:pos="3752"/>
              </w:tabs>
              <w:spacing w:line="320" w:lineRule="exact"/>
              <w:ind w:left="1140" w:hanging="420"/>
              <w:jc w:val="both"/>
              <w:rPr>
                <w:rFonts w:eastAsia="標楷體"/>
                <w:color w:val="000000"/>
              </w:rPr>
            </w:pPr>
            <w:r>
              <w:rPr>
                <w:rFonts w:eastAsia="標楷體"/>
                <w:color w:val="000000"/>
              </w:rPr>
              <w:t>(</w:t>
            </w:r>
            <w:r>
              <w:rPr>
                <w:rFonts w:eastAsia="標楷體"/>
                <w:color w:val="000000"/>
              </w:rPr>
              <w:t>七</w:t>
            </w:r>
            <w:r>
              <w:rPr>
                <w:rFonts w:eastAsia="標楷體"/>
                <w:color w:val="000000"/>
              </w:rPr>
              <w:t>)</w:t>
            </w:r>
            <w:r>
              <w:rPr>
                <w:rFonts w:eastAsia="標楷體"/>
                <w:color w:val="000000"/>
              </w:rPr>
              <w:t>盡職治理參與：</w:t>
            </w:r>
            <w:r>
              <w:rPr>
                <w:rFonts w:eastAsia="標楷體"/>
                <w:color w:val="000000"/>
              </w:rPr>
              <w:t xml:space="preserve"> </w:t>
            </w:r>
          </w:p>
          <w:p w14:paraId="104AE094"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1.</w:t>
            </w:r>
            <w:r>
              <w:rPr>
                <w:rFonts w:eastAsia="標楷體"/>
                <w:color w:val="000000"/>
              </w:rPr>
              <w:t>是否揭露公司盡職治理報告查詢方法與途徑？</w:t>
            </w:r>
            <w:r>
              <w:rPr>
                <w:rFonts w:eastAsia="標楷體"/>
                <w:color w:val="000000"/>
              </w:rPr>
              <w:t xml:space="preserve"> </w:t>
            </w:r>
          </w:p>
          <w:p w14:paraId="239656F9"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2.</w:t>
            </w:r>
            <w:r>
              <w:rPr>
                <w:rFonts w:eastAsia="標楷體"/>
                <w:color w:val="000000"/>
              </w:rPr>
              <w:t>針對基金所適用盡職治理政策及執行方式，包括如何評估是否需要與被投資</w:t>
            </w:r>
            <w:proofErr w:type="gramStart"/>
            <w:r>
              <w:rPr>
                <w:rFonts w:eastAsia="標楷體"/>
                <w:color w:val="000000"/>
              </w:rPr>
              <w:t>公司議合</w:t>
            </w:r>
            <w:proofErr w:type="gramEnd"/>
            <w:r>
              <w:rPr>
                <w:rFonts w:eastAsia="標楷體"/>
                <w:color w:val="000000"/>
              </w:rPr>
              <w:t>，以及透過何種形式與公司進行</w:t>
            </w:r>
            <w:r>
              <w:rPr>
                <w:rFonts w:eastAsia="標楷體"/>
                <w:color w:val="000000"/>
              </w:rPr>
              <w:t>ESG</w:t>
            </w:r>
            <w:r>
              <w:rPr>
                <w:rFonts w:eastAsia="標楷體"/>
                <w:color w:val="000000"/>
              </w:rPr>
              <w:t>議題溝通，如被投資公司未對</w:t>
            </w:r>
            <w:r>
              <w:rPr>
                <w:rFonts w:eastAsia="標楷體"/>
                <w:color w:val="000000"/>
              </w:rPr>
              <w:t>ESG</w:t>
            </w:r>
            <w:r>
              <w:rPr>
                <w:rFonts w:eastAsia="標楷體"/>
                <w:color w:val="000000"/>
              </w:rPr>
              <w:t>議題作出積極回應，公司採取何種因應措施。</w:t>
            </w:r>
          </w:p>
          <w:p w14:paraId="599353B1"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lastRenderedPageBreak/>
              <w:t>3.</w:t>
            </w:r>
            <w:r>
              <w:rPr>
                <w:rFonts w:eastAsia="標楷體"/>
                <w:color w:val="000000"/>
              </w:rPr>
              <w:t>針對基金參與股東會與投票情形，包括基本投票方針，出席股東會與投票紀錄等定期資訊揭露方式。</w:t>
            </w:r>
          </w:p>
          <w:p w14:paraId="03FE80DA" w14:textId="77777777" w:rsidR="009B023F" w:rsidRDefault="0075731A">
            <w:pPr>
              <w:tabs>
                <w:tab w:val="left" w:pos="3752"/>
              </w:tabs>
              <w:spacing w:line="320" w:lineRule="exact"/>
              <w:ind w:left="1140" w:hanging="420"/>
              <w:jc w:val="both"/>
              <w:rPr>
                <w:rFonts w:eastAsia="標楷體"/>
                <w:color w:val="000000"/>
              </w:rPr>
            </w:pPr>
            <w:r>
              <w:rPr>
                <w:rFonts w:eastAsia="標楷體"/>
                <w:color w:val="000000"/>
              </w:rPr>
              <w:t>(</w:t>
            </w:r>
            <w:r>
              <w:rPr>
                <w:rFonts w:eastAsia="標楷體"/>
                <w:color w:val="000000"/>
              </w:rPr>
              <w:t>八</w:t>
            </w:r>
            <w:r>
              <w:rPr>
                <w:rFonts w:eastAsia="標楷體"/>
                <w:color w:val="000000"/>
              </w:rPr>
              <w:t>)</w:t>
            </w:r>
            <w:r>
              <w:rPr>
                <w:rFonts w:eastAsia="標楷體"/>
                <w:color w:val="000000"/>
              </w:rPr>
              <w:t>定期揭露：公司年度結束後</w:t>
            </w:r>
            <w:r>
              <w:rPr>
                <w:rFonts w:eastAsia="標楷體"/>
                <w:color w:val="000000"/>
              </w:rPr>
              <w:t>2</w:t>
            </w:r>
            <w:r>
              <w:rPr>
                <w:rFonts w:eastAsia="標楷體"/>
                <w:color w:val="000000"/>
              </w:rPr>
              <w:t>個月，每年是否在公司網站上向投資者揭露以下定期評估的資訊</w:t>
            </w:r>
            <w:r>
              <w:rPr>
                <w:rFonts w:eastAsia="標楷體"/>
                <w:color w:val="000000"/>
              </w:rPr>
              <w:t xml:space="preserve">? </w:t>
            </w:r>
          </w:p>
          <w:p w14:paraId="55A1CC9D"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1.</w:t>
            </w:r>
            <w:r>
              <w:rPr>
                <w:rFonts w:eastAsia="標楷體"/>
                <w:color w:val="000000"/>
              </w:rPr>
              <w:t>基金資產組成符合所定</w:t>
            </w:r>
            <w:r>
              <w:rPr>
                <w:rFonts w:eastAsia="標楷體"/>
                <w:color w:val="000000"/>
              </w:rPr>
              <w:t>ESG</w:t>
            </w:r>
            <w:r>
              <w:rPr>
                <w:rFonts w:eastAsia="標楷體"/>
                <w:color w:val="000000"/>
              </w:rPr>
              <w:t>投資策略與篩選標準之實際投資比重。</w:t>
            </w:r>
          </w:p>
          <w:p w14:paraId="3B337D53"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2.</w:t>
            </w:r>
            <w:r>
              <w:rPr>
                <w:rFonts w:eastAsia="標楷體"/>
                <w:color w:val="000000"/>
              </w:rPr>
              <w:t>如有設定績效參考指標，應比較基金採用</w:t>
            </w:r>
            <w:r>
              <w:rPr>
                <w:rFonts w:eastAsia="標楷體"/>
                <w:color w:val="000000"/>
              </w:rPr>
              <w:t>ESG</w:t>
            </w:r>
            <w:r>
              <w:rPr>
                <w:rFonts w:eastAsia="標楷體"/>
                <w:color w:val="000000"/>
              </w:rPr>
              <w:t>篩選標準與績效指標（</w:t>
            </w:r>
            <w:r>
              <w:rPr>
                <w:rFonts w:eastAsia="標楷體"/>
                <w:color w:val="000000"/>
              </w:rPr>
              <w:t>Benchmark</w:t>
            </w:r>
            <w:r>
              <w:rPr>
                <w:rFonts w:eastAsia="標楷體"/>
                <w:color w:val="000000"/>
              </w:rPr>
              <w:t>）對成分證券篩選標準</w:t>
            </w:r>
            <w:proofErr w:type="gramStart"/>
            <w:r>
              <w:rPr>
                <w:rFonts w:eastAsia="標楷體"/>
                <w:color w:val="000000"/>
              </w:rPr>
              <w:t>兩者間的差異</w:t>
            </w:r>
            <w:proofErr w:type="gramEnd"/>
            <w:r>
              <w:rPr>
                <w:rFonts w:eastAsia="標楷體"/>
                <w:color w:val="000000"/>
              </w:rPr>
              <w:t>。</w:t>
            </w:r>
          </w:p>
          <w:p w14:paraId="415BAE45" w14:textId="77777777" w:rsidR="009B023F" w:rsidRDefault="0075731A">
            <w:pPr>
              <w:tabs>
                <w:tab w:val="left" w:pos="3752"/>
              </w:tabs>
              <w:spacing w:line="320" w:lineRule="exact"/>
              <w:ind w:left="1380" w:hanging="180"/>
              <w:jc w:val="both"/>
              <w:rPr>
                <w:rFonts w:eastAsia="標楷體"/>
                <w:color w:val="000000"/>
              </w:rPr>
            </w:pPr>
            <w:r>
              <w:rPr>
                <w:rFonts w:eastAsia="標楷體"/>
                <w:color w:val="000000"/>
              </w:rPr>
              <w:t>3.</w:t>
            </w:r>
            <w:r>
              <w:rPr>
                <w:rFonts w:eastAsia="標楷體"/>
                <w:color w:val="000000"/>
              </w:rPr>
              <w:t>基金為達到永續投資重點和目標，而採取盡職治理行動（例如，與被投資公司經營階層互動、參與股東會及行使投票權紀錄等）。</w:t>
            </w:r>
          </w:p>
          <w:p w14:paraId="75397417" w14:textId="77777777" w:rsidR="009B023F" w:rsidRDefault="0075731A">
            <w:pPr>
              <w:snapToGrid w:val="0"/>
              <w:spacing w:before="120" w:after="120"/>
              <w:ind w:left="890" w:right="60" w:hanging="890"/>
              <w:jc w:val="both"/>
            </w:pPr>
            <w:r>
              <w:rPr>
                <w:rFonts w:eastAsia="標楷體"/>
                <w:color w:val="000000"/>
              </w:rPr>
              <w:t>三十</w:t>
            </w:r>
            <w:r>
              <w:rPr>
                <w:rFonts w:eastAsia="標楷體"/>
              </w:rPr>
              <w:t>四</w:t>
            </w:r>
            <w:r>
              <w:rPr>
                <w:rFonts w:eastAsia="標楷體"/>
                <w:color w:val="000000"/>
              </w:rPr>
              <w:t>、公司送件前應由相關人員確實檢視申報書件內容之正確性、合理性及適法性，及本基金評估風險控管機制有效性之說明資料：</w:t>
            </w:r>
          </w:p>
          <w:p w14:paraId="38278D31" w14:textId="77777777" w:rsidR="009B023F" w:rsidRDefault="0075731A">
            <w:pPr>
              <w:tabs>
                <w:tab w:val="left" w:pos="3752"/>
              </w:tabs>
              <w:spacing w:line="320" w:lineRule="exact"/>
              <w:ind w:left="1140" w:hanging="420"/>
              <w:jc w:val="both"/>
              <w:rPr>
                <w:rFonts w:eastAsia="標楷體"/>
                <w:color w:val="000000"/>
              </w:rPr>
            </w:pPr>
            <w:r>
              <w:rPr>
                <w:rFonts w:eastAsia="標楷體"/>
                <w:color w:val="000000"/>
              </w:rPr>
              <w:t>(</w:t>
            </w:r>
            <w:proofErr w:type="gramStart"/>
            <w:r>
              <w:rPr>
                <w:rFonts w:eastAsia="標楷體"/>
                <w:color w:val="000000"/>
              </w:rPr>
              <w:t>一</w:t>
            </w:r>
            <w:proofErr w:type="gramEnd"/>
            <w:r>
              <w:rPr>
                <w:rFonts w:eastAsia="標楷體"/>
                <w:color w:val="000000"/>
              </w:rPr>
              <w:t>)</w:t>
            </w:r>
            <w:r>
              <w:rPr>
                <w:rFonts w:eastAsia="標楷體"/>
                <w:color w:val="000000"/>
              </w:rPr>
              <w:t>基金內部審查程序（包括流程、相關負責部門及決行層級等）。</w:t>
            </w:r>
          </w:p>
          <w:p w14:paraId="60606DEF" w14:textId="77777777" w:rsidR="009B023F" w:rsidRDefault="0075731A">
            <w:pPr>
              <w:tabs>
                <w:tab w:val="left" w:pos="3752"/>
              </w:tabs>
              <w:spacing w:line="320" w:lineRule="exact"/>
              <w:ind w:left="1140" w:hanging="420"/>
              <w:jc w:val="both"/>
              <w:rPr>
                <w:rFonts w:eastAsia="標楷體"/>
                <w:color w:val="000000"/>
              </w:rPr>
            </w:pPr>
            <w:r>
              <w:rPr>
                <w:rFonts w:eastAsia="標楷體"/>
                <w:color w:val="000000"/>
              </w:rPr>
              <w:t>(</w:t>
            </w:r>
            <w:r>
              <w:rPr>
                <w:rFonts w:eastAsia="標楷體"/>
                <w:color w:val="000000"/>
              </w:rPr>
              <w:t>二</w:t>
            </w:r>
            <w:r>
              <w:rPr>
                <w:rFonts w:eastAsia="標楷體"/>
                <w:color w:val="000000"/>
              </w:rPr>
              <w:t>)</w:t>
            </w:r>
            <w:r>
              <w:rPr>
                <w:rFonts w:eastAsia="標楷體"/>
                <w:color w:val="000000"/>
              </w:rPr>
              <w:t>基金商品評估項目及評估結果（評估項目包括但不限於商品之妥適性及合法性、費率合理性、適合之投資人屬性、投資風險及風險控管機制有效性、申報書件內容之正確性</w:t>
            </w:r>
            <w:r>
              <w:rPr>
                <w:rFonts w:eastAsia="標楷體"/>
                <w:color w:val="000000"/>
              </w:rPr>
              <w:t>/</w:t>
            </w:r>
            <w:r>
              <w:rPr>
                <w:rFonts w:eastAsia="標楷體"/>
                <w:color w:val="000000"/>
              </w:rPr>
              <w:t>合理性</w:t>
            </w:r>
            <w:r>
              <w:rPr>
                <w:rFonts w:eastAsia="標楷體"/>
                <w:color w:val="000000"/>
              </w:rPr>
              <w:t>/</w:t>
            </w:r>
            <w:r>
              <w:rPr>
                <w:rFonts w:eastAsia="標楷體"/>
                <w:color w:val="000000"/>
              </w:rPr>
              <w:t>適法性）。</w:t>
            </w:r>
          </w:p>
          <w:p w14:paraId="6E66618F" w14:textId="77777777" w:rsidR="009B023F" w:rsidRDefault="0075731A">
            <w:pPr>
              <w:snapToGrid w:val="0"/>
              <w:spacing w:before="120" w:after="120"/>
              <w:ind w:left="890" w:right="60" w:hanging="890"/>
              <w:jc w:val="both"/>
              <w:rPr>
                <w:rFonts w:eastAsia="標楷體"/>
              </w:rPr>
            </w:pPr>
            <w:r>
              <w:rPr>
                <w:rFonts w:eastAsia="標楷體"/>
              </w:rPr>
              <w:t>三十五、檢具符合金管會</w:t>
            </w:r>
            <w:r>
              <w:rPr>
                <w:rFonts w:eastAsia="標楷體"/>
              </w:rPr>
              <w:t>115</w:t>
            </w:r>
            <w:r>
              <w:rPr>
                <w:rFonts w:eastAsia="標楷體"/>
              </w:rPr>
              <w:t>年</w:t>
            </w:r>
            <w:r>
              <w:rPr>
                <w:rFonts w:eastAsia="標楷體"/>
              </w:rPr>
              <w:t>3</w:t>
            </w:r>
            <w:r>
              <w:rPr>
                <w:rFonts w:eastAsia="標楷體"/>
              </w:rPr>
              <w:t>月</w:t>
            </w:r>
            <w:r>
              <w:rPr>
                <w:rFonts w:eastAsia="標楷體"/>
              </w:rPr>
              <w:t>6</w:t>
            </w:r>
            <w:r>
              <w:rPr>
                <w:rFonts w:eastAsia="標楷體"/>
              </w:rPr>
              <w:t>日金</w:t>
            </w:r>
            <w:proofErr w:type="gramStart"/>
            <w:r>
              <w:rPr>
                <w:rFonts w:eastAsia="標楷體"/>
              </w:rPr>
              <w:t>管證投字</w:t>
            </w:r>
            <w:proofErr w:type="gramEnd"/>
            <w:r>
              <w:rPr>
                <w:rFonts w:eastAsia="標楷體"/>
              </w:rPr>
              <w:t>第</w:t>
            </w:r>
            <w:r>
              <w:rPr>
                <w:rFonts w:eastAsia="標楷體"/>
              </w:rPr>
              <w:t>1150380279</w:t>
            </w:r>
            <w:r>
              <w:rPr>
                <w:rFonts w:eastAsia="標楷體"/>
              </w:rPr>
              <w:t>號令所定運用範圍及限制之境外基金過去一年期間每月底投資組合比重。</w:t>
            </w:r>
          </w:p>
          <w:p w14:paraId="68B98ED4" w14:textId="77777777" w:rsidR="009B023F" w:rsidRDefault="0075731A">
            <w:pPr>
              <w:snapToGrid w:val="0"/>
              <w:spacing w:before="120" w:after="120"/>
              <w:ind w:left="890" w:right="60" w:hanging="890"/>
              <w:jc w:val="both"/>
              <w:rPr>
                <w:rFonts w:eastAsia="標楷體"/>
              </w:rPr>
            </w:pPr>
            <w:r>
              <w:rPr>
                <w:rFonts w:eastAsia="標楷體"/>
              </w:rPr>
              <w:t>三十六、說明防止短線交易之作業及措施，以及銷售機構應依何種認定標準提供涉及短線交易資料予境外基金機構或總代理人，</w:t>
            </w:r>
            <w:proofErr w:type="gramStart"/>
            <w:r>
              <w:rPr>
                <w:rFonts w:eastAsia="標楷體"/>
              </w:rPr>
              <w:t>俾</w:t>
            </w:r>
            <w:proofErr w:type="gramEnd"/>
            <w:r>
              <w:rPr>
                <w:rFonts w:eastAsia="標楷體"/>
              </w:rPr>
              <w:t>符合金管會</w:t>
            </w:r>
            <w:r>
              <w:rPr>
                <w:rFonts w:eastAsia="標楷體"/>
              </w:rPr>
              <w:t>96</w:t>
            </w:r>
            <w:r>
              <w:rPr>
                <w:rFonts w:eastAsia="標楷體"/>
              </w:rPr>
              <w:t>年</w:t>
            </w:r>
            <w:r>
              <w:rPr>
                <w:rFonts w:eastAsia="標楷體"/>
              </w:rPr>
              <w:t>6</w:t>
            </w:r>
            <w:r>
              <w:rPr>
                <w:rFonts w:eastAsia="標楷體"/>
              </w:rPr>
              <w:t>月</w:t>
            </w:r>
            <w:r>
              <w:rPr>
                <w:rFonts w:eastAsia="標楷體"/>
              </w:rPr>
              <w:t>20</w:t>
            </w:r>
            <w:r>
              <w:rPr>
                <w:rFonts w:eastAsia="標楷體"/>
              </w:rPr>
              <w:t>日</w:t>
            </w:r>
            <w:proofErr w:type="gramStart"/>
            <w:r>
              <w:rPr>
                <w:rFonts w:eastAsia="標楷體"/>
              </w:rPr>
              <w:t>金管證</w:t>
            </w:r>
            <w:proofErr w:type="gramEnd"/>
            <w:r>
              <w:rPr>
                <w:rFonts w:eastAsia="標楷體"/>
              </w:rPr>
              <w:t>四字第</w:t>
            </w:r>
            <w:r>
              <w:rPr>
                <w:rFonts w:eastAsia="標楷體"/>
              </w:rPr>
              <w:t>0960031506</w:t>
            </w:r>
            <w:r>
              <w:rPr>
                <w:rFonts w:eastAsia="標楷體"/>
              </w:rPr>
              <w:t>號函規定。</w:t>
            </w:r>
          </w:p>
          <w:p w14:paraId="31A939CD" w14:textId="77777777" w:rsidR="009B023F" w:rsidRDefault="0075731A">
            <w:pPr>
              <w:snapToGrid w:val="0"/>
              <w:spacing w:before="120" w:after="120"/>
              <w:ind w:left="890" w:right="60" w:hanging="890"/>
              <w:jc w:val="both"/>
              <w:rPr>
                <w:rFonts w:eastAsia="標楷體"/>
              </w:rPr>
            </w:pPr>
            <w:r>
              <w:rPr>
                <w:rFonts w:eastAsia="標楷體"/>
              </w:rPr>
              <w:t>三十七、說明引進本次申報之境外基金與公司現有於國內募集與銷售之境外基金區隔性。</w:t>
            </w:r>
          </w:p>
          <w:p w14:paraId="441B3EB2" w14:textId="77777777" w:rsidR="009B023F" w:rsidRDefault="0075731A">
            <w:pPr>
              <w:snapToGrid w:val="0"/>
              <w:spacing w:before="120" w:after="120"/>
              <w:ind w:left="692" w:right="60" w:hanging="692"/>
              <w:jc w:val="both"/>
            </w:pPr>
            <w:r>
              <w:rPr>
                <w:rFonts w:eastAsia="標楷體"/>
              </w:rPr>
              <w:t>三十八</w:t>
            </w:r>
            <w:r>
              <w:rPr>
                <w:rFonts w:eastAsia="標楷體"/>
                <w:color w:val="000000"/>
              </w:rPr>
              <w:t>、其他主管機關規定之文件。</w:t>
            </w:r>
          </w:p>
        </w:tc>
        <w:tc>
          <w:tcPr>
            <w:tcW w:w="8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441089B" w14:textId="77777777" w:rsidR="009B023F" w:rsidRDefault="009B023F">
            <w:pPr>
              <w:snapToGrid w:val="0"/>
              <w:spacing w:before="120" w:after="120"/>
              <w:rPr>
                <w:rFonts w:eastAsia="標楷體"/>
                <w:color w:val="000000"/>
              </w:rPr>
            </w:pPr>
          </w:p>
          <w:p w14:paraId="2DF40943" w14:textId="77777777" w:rsidR="009B023F" w:rsidRDefault="009B023F">
            <w:pPr>
              <w:rPr>
                <w:rFonts w:eastAsia="標楷體"/>
              </w:rPr>
            </w:pPr>
          </w:p>
          <w:p w14:paraId="061418D9" w14:textId="77777777" w:rsidR="009B023F" w:rsidRDefault="009B023F">
            <w:pPr>
              <w:rPr>
                <w:rFonts w:eastAsia="標楷體"/>
              </w:rPr>
            </w:pPr>
          </w:p>
          <w:p w14:paraId="4C09F793" w14:textId="77777777" w:rsidR="009B023F" w:rsidRDefault="009B023F">
            <w:pPr>
              <w:rPr>
                <w:rFonts w:eastAsia="標楷體"/>
              </w:rPr>
            </w:pPr>
          </w:p>
          <w:p w14:paraId="356BABD4" w14:textId="77777777" w:rsidR="009B023F" w:rsidRDefault="009B023F">
            <w:pPr>
              <w:rPr>
                <w:rFonts w:eastAsia="標楷體"/>
              </w:rPr>
            </w:pPr>
          </w:p>
          <w:p w14:paraId="7EABAD4B" w14:textId="77777777" w:rsidR="009B023F" w:rsidRDefault="009B023F">
            <w:pPr>
              <w:rPr>
                <w:rFonts w:eastAsia="標楷體"/>
              </w:rPr>
            </w:pPr>
          </w:p>
          <w:p w14:paraId="1B2408D0" w14:textId="77777777" w:rsidR="009B023F" w:rsidRDefault="009B023F">
            <w:pPr>
              <w:rPr>
                <w:rFonts w:eastAsia="標楷體"/>
              </w:rPr>
            </w:pPr>
          </w:p>
          <w:p w14:paraId="5072E310" w14:textId="77777777" w:rsidR="009B023F" w:rsidRDefault="009B023F">
            <w:pPr>
              <w:rPr>
                <w:rFonts w:eastAsia="標楷體"/>
              </w:rPr>
            </w:pPr>
          </w:p>
          <w:p w14:paraId="627DABEF" w14:textId="77777777" w:rsidR="009B023F" w:rsidRDefault="009B023F">
            <w:pPr>
              <w:rPr>
                <w:rFonts w:eastAsia="標楷體"/>
              </w:rPr>
            </w:pPr>
          </w:p>
          <w:p w14:paraId="0A39E8D6" w14:textId="77777777" w:rsidR="009B023F" w:rsidRDefault="009B023F">
            <w:pPr>
              <w:rPr>
                <w:rFonts w:eastAsia="標楷體"/>
              </w:rPr>
            </w:pPr>
          </w:p>
          <w:p w14:paraId="6AA61AA1" w14:textId="77777777" w:rsidR="009B023F" w:rsidRDefault="009B023F">
            <w:pPr>
              <w:rPr>
                <w:rFonts w:eastAsia="標楷體"/>
              </w:rPr>
            </w:pPr>
          </w:p>
          <w:p w14:paraId="015877DF" w14:textId="77777777" w:rsidR="009B023F" w:rsidRDefault="009B023F">
            <w:pPr>
              <w:rPr>
                <w:rFonts w:eastAsia="標楷體"/>
              </w:rPr>
            </w:pPr>
          </w:p>
          <w:p w14:paraId="39FB5046" w14:textId="77777777" w:rsidR="009B023F" w:rsidRDefault="009B023F">
            <w:pPr>
              <w:rPr>
                <w:rFonts w:eastAsia="標楷體"/>
              </w:rPr>
            </w:pPr>
          </w:p>
          <w:p w14:paraId="794351FD" w14:textId="77777777" w:rsidR="009B023F" w:rsidRDefault="009B023F">
            <w:pPr>
              <w:rPr>
                <w:rFonts w:eastAsia="標楷體"/>
              </w:rPr>
            </w:pPr>
          </w:p>
          <w:p w14:paraId="26AD43EF" w14:textId="77777777" w:rsidR="009B023F" w:rsidRDefault="009B023F">
            <w:pPr>
              <w:rPr>
                <w:rFonts w:eastAsia="標楷體"/>
              </w:rPr>
            </w:pPr>
          </w:p>
          <w:p w14:paraId="6013E663" w14:textId="77777777" w:rsidR="009B023F" w:rsidRDefault="009B023F">
            <w:pPr>
              <w:rPr>
                <w:rFonts w:eastAsia="標楷體"/>
              </w:rPr>
            </w:pPr>
          </w:p>
          <w:p w14:paraId="767A5780" w14:textId="77777777" w:rsidR="009B023F" w:rsidRDefault="009B023F">
            <w:pPr>
              <w:rPr>
                <w:rFonts w:eastAsia="標楷體"/>
              </w:rPr>
            </w:pPr>
          </w:p>
          <w:p w14:paraId="4E7BCD26" w14:textId="77777777" w:rsidR="009B023F" w:rsidRDefault="009B023F">
            <w:pPr>
              <w:rPr>
                <w:rFonts w:eastAsia="標楷體"/>
              </w:rPr>
            </w:pPr>
          </w:p>
          <w:p w14:paraId="7E7A0A2F" w14:textId="77777777" w:rsidR="009B023F" w:rsidRDefault="009B023F">
            <w:pPr>
              <w:rPr>
                <w:rFonts w:eastAsia="標楷體"/>
              </w:rPr>
            </w:pPr>
          </w:p>
          <w:p w14:paraId="2AE5B60B" w14:textId="77777777" w:rsidR="009B023F" w:rsidRDefault="009B023F">
            <w:pPr>
              <w:rPr>
                <w:rFonts w:eastAsia="標楷體"/>
              </w:rPr>
            </w:pPr>
          </w:p>
          <w:p w14:paraId="49859F55" w14:textId="77777777" w:rsidR="009B023F" w:rsidRDefault="009B023F">
            <w:pPr>
              <w:rPr>
                <w:rFonts w:eastAsia="標楷體"/>
              </w:rPr>
            </w:pPr>
          </w:p>
          <w:p w14:paraId="263E69D4" w14:textId="77777777" w:rsidR="009B023F" w:rsidRDefault="009B023F">
            <w:pPr>
              <w:rPr>
                <w:rFonts w:eastAsia="標楷體"/>
              </w:rPr>
            </w:pPr>
          </w:p>
          <w:p w14:paraId="436EBDB6" w14:textId="77777777" w:rsidR="009B023F" w:rsidRDefault="009B023F">
            <w:pPr>
              <w:rPr>
                <w:rFonts w:eastAsia="標楷體"/>
              </w:rPr>
            </w:pPr>
          </w:p>
          <w:p w14:paraId="0A70C4D7" w14:textId="77777777" w:rsidR="009B023F" w:rsidRDefault="009B023F">
            <w:pPr>
              <w:rPr>
                <w:rFonts w:eastAsia="標楷體"/>
              </w:rPr>
            </w:pPr>
          </w:p>
          <w:p w14:paraId="233C17CA" w14:textId="77777777" w:rsidR="009B023F" w:rsidRDefault="009B023F">
            <w:pPr>
              <w:rPr>
                <w:rFonts w:eastAsia="標楷體"/>
              </w:rPr>
            </w:pPr>
          </w:p>
          <w:p w14:paraId="53697640" w14:textId="77777777" w:rsidR="009B023F" w:rsidRDefault="009B023F">
            <w:pPr>
              <w:rPr>
                <w:rFonts w:eastAsia="標楷體"/>
              </w:rPr>
            </w:pPr>
          </w:p>
          <w:p w14:paraId="0FEA553D" w14:textId="77777777" w:rsidR="009B023F" w:rsidRDefault="009B023F">
            <w:pPr>
              <w:rPr>
                <w:rFonts w:eastAsia="標楷體"/>
              </w:rPr>
            </w:pPr>
          </w:p>
          <w:p w14:paraId="2BD4AC6D" w14:textId="77777777" w:rsidR="009B023F" w:rsidRDefault="009B023F">
            <w:pPr>
              <w:rPr>
                <w:rFonts w:eastAsia="標楷體"/>
              </w:rPr>
            </w:pPr>
          </w:p>
          <w:p w14:paraId="18E78BF8" w14:textId="77777777" w:rsidR="009B023F" w:rsidRDefault="009B023F">
            <w:pPr>
              <w:rPr>
                <w:rFonts w:eastAsia="標楷體"/>
              </w:rPr>
            </w:pPr>
          </w:p>
          <w:p w14:paraId="05F16FAE" w14:textId="77777777" w:rsidR="009B023F" w:rsidRDefault="009B023F">
            <w:pPr>
              <w:rPr>
                <w:rFonts w:eastAsia="標楷體"/>
              </w:rPr>
            </w:pPr>
          </w:p>
          <w:p w14:paraId="1A561DBC" w14:textId="77777777" w:rsidR="009B023F" w:rsidRDefault="009B023F">
            <w:pPr>
              <w:rPr>
                <w:rFonts w:eastAsia="標楷體"/>
              </w:rPr>
            </w:pPr>
          </w:p>
          <w:p w14:paraId="74BF7F9F" w14:textId="77777777" w:rsidR="009B023F" w:rsidRDefault="009B023F">
            <w:pPr>
              <w:rPr>
                <w:rFonts w:eastAsia="標楷體"/>
              </w:rPr>
            </w:pPr>
          </w:p>
          <w:p w14:paraId="718FFE28" w14:textId="77777777" w:rsidR="009B023F" w:rsidRDefault="009B023F">
            <w:pPr>
              <w:rPr>
                <w:rFonts w:eastAsia="標楷體"/>
              </w:rPr>
            </w:pPr>
          </w:p>
          <w:p w14:paraId="3C162710" w14:textId="77777777" w:rsidR="009B023F" w:rsidRDefault="009B023F">
            <w:pPr>
              <w:rPr>
                <w:rFonts w:eastAsia="標楷體"/>
              </w:rPr>
            </w:pPr>
          </w:p>
          <w:p w14:paraId="38E56542" w14:textId="77777777" w:rsidR="009B023F" w:rsidRDefault="009B023F">
            <w:pPr>
              <w:rPr>
                <w:rFonts w:eastAsia="標楷體"/>
              </w:rPr>
            </w:pPr>
          </w:p>
          <w:p w14:paraId="536A63A7" w14:textId="77777777" w:rsidR="009B023F" w:rsidRDefault="009B023F">
            <w:pPr>
              <w:rPr>
                <w:rFonts w:eastAsia="標楷體"/>
              </w:rPr>
            </w:pPr>
          </w:p>
          <w:p w14:paraId="337DCCDE" w14:textId="77777777" w:rsidR="009B023F" w:rsidRDefault="009B023F">
            <w:pPr>
              <w:rPr>
                <w:rFonts w:eastAsia="標楷體"/>
              </w:rPr>
            </w:pPr>
          </w:p>
          <w:p w14:paraId="7C293A42" w14:textId="77777777" w:rsidR="009B023F" w:rsidRDefault="009B023F">
            <w:pPr>
              <w:rPr>
                <w:rFonts w:eastAsia="標楷體"/>
              </w:rPr>
            </w:pPr>
          </w:p>
          <w:p w14:paraId="54ACFF78" w14:textId="77777777" w:rsidR="009B023F" w:rsidRDefault="009B023F">
            <w:pPr>
              <w:rPr>
                <w:rFonts w:eastAsia="標楷體"/>
              </w:rPr>
            </w:pPr>
          </w:p>
          <w:p w14:paraId="0BD1846D" w14:textId="77777777" w:rsidR="009B023F" w:rsidRDefault="009B023F">
            <w:pPr>
              <w:rPr>
                <w:rFonts w:eastAsia="標楷體"/>
              </w:rPr>
            </w:pPr>
          </w:p>
          <w:p w14:paraId="7FD1F74D" w14:textId="77777777" w:rsidR="009B023F" w:rsidRDefault="009B023F">
            <w:pPr>
              <w:rPr>
                <w:rFonts w:eastAsia="標楷體"/>
              </w:rPr>
            </w:pPr>
          </w:p>
          <w:p w14:paraId="35093D89" w14:textId="77777777" w:rsidR="009B023F" w:rsidRDefault="009B023F">
            <w:pPr>
              <w:rPr>
                <w:rFonts w:eastAsia="標楷體"/>
              </w:rPr>
            </w:pPr>
          </w:p>
          <w:p w14:paraId="3E8A6E49" w14:textId="77777777" w:rsidR="009B023F" w:rsidRDefault="009B023F">
            <w:pPr>
              <w:rPr>
                <w:rFonts w:eastAsia="標楷體"/>
              </w:rPr>
            </w:pPr>
          </w:p>
          <w:p w14:paraId="5FB5C53A" w14:textId="77777777" w:rsidR="009B023F" w:rsidRDefault="009B023F">
            <w:pPr>
              <w:rPr>
                <w:rFonts w:eastAsia="標楷體"/>
                <w:color w:val="000000"/>
              </w:rPr>
            </w:pPr>
          </w:p>
          <w:p w14:paraId="5B5C32B0" w14:textId="77777777" w:rsidR="009B023F" w:rsidRDefault="009B023F">
            <w:pPr>
              <w:rPr>
                <w:rFonts w:eastAsia="標楷體"/>
              </w:rPr>
            </w:pPr>
          </w:p>
          <w:p w14:paraId="7B1163FF" w14:textId="77777777" w:rsidR="009B023F" w:rsidRDefault="009B023F">
            <w:pPr>
              <w:rPr>
                <w:rFonts w:eastAsia="標楷體"/>
              </w:rPr>
            </w:pPr>
          </w:p>
          <w:p w14:paraId="65363A93" w14:textId="77777777" w:rsidR="009B023F" w:rsidRDefault="009B023F">
            <w:pPr>
              <w:rPr>
                <w:rFonts w:eastAsia="標楷體"/>
              </w:rPr>
            </w:pP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720CDD" w14:textId="77777777" w:rsidR="009B023F" w:rsidRDefault="009B023F">
            <w:pPr>
              <w:snapToGrid w:val="0"/>
              <w:spacing w:before="120" w:after="120"/>
              <w:rPr>
                <w:rFonts w:eastAsia="標楷體"/>
                <w:color w:val="000000"/>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E6476F7" w14:textId="77777777" w:rsidR="009B023F" w:rsidRDefault="009B023F">
            <w:pPr>
              <w:snapToGrid w:val="0"/>
              <w:spacing w:before="120" w:after="120"/>
              <w:rPr>
                <w:rFonts w:eastAsia="標楷體"/>
                <w:color w:val="000000"/>
              </w:rP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F34C52A" w14:textId="77777777" w:rsidR="009B023F" w:rsidRDefault="009B023F">
            <w:pPr>
              <w:snapToGrid w:val="0"/>
              <w:spacing w:before="120" w:after="120"/>
              <w:rPr>
                <w:rFonts w:eastAsia="標楷體"/>
                <w:color w:val="000000"/>
              </w:rPr>
            </w:pPr>
          </w:p>
        </w:tc>
        <w:tc>
          <w:tcPr>
            <w:tcW w:w="94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67C913B" w14:textId="77777777" w:rsidR="009B023F" w:rsidRDefault="009B023F">
            <w:pPr>
              <w:snapToGrid w:val="0"/>
              <w:spacing w:before="120" w:after="120"/>
              <w:rPr>
                <w:rFonts w:eastAsia="標楷體"/>
                <w:color w:val="000000"/>
              </w:rPr>
            </w:pPr>
          </w:p>
        </w:tc>
        <w:tc>
          <w:tcPr>
            <w:tcW w:w="9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3DC6E62" w14:textId="77777777" w:rsidR="009B023F" w:rsidRDefault="009B023F">
            <w:pPr>
              <w:snapToGrid w:val="0"/>
              <w:spacing w:before="120" w:after="120"/>
              <w:rPr>
                <w:rFonts w:eastAsia="標楷體"/>
                <w:color w:val="000000"/>
              </w:rPr>
            </w:pPr>
          </w:p>
        </w:tc>
      </w:tr>
      <w:tr w:rsidR="009B023F" w14:paraId="69BC7E4A" w14:textId="77777777">
        <w:tblPrEx>
          <w:tblCellMar>
            <w:top w:w="0" w:type="dxa"/>
            <w:bottom w:w="0" w:type="dxa"/>
          </w:tblCellMar>
        </w:tblPrEx>
        <w:trPr>
          <w:cantSplit/>
          <w:jc w:val="center"/>
        </w:trPr>
        <w:tc>
          <w:tcPr>
            <w:tcW w:w="1029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0D12E55" w14:textId="77777777" w:rsidR="009B023F" w:rsidRDefault="0075731A">
            <w:pPr>
              <w:rPr>
                <w:rFonts w:eastAsia="標楷體"/>
                <w:color w:val="000000"/>
              </w:rPr>
            </w:pPr>
            <w:r>
              <w:rPr>
                <w:rFonts w:eastAsia="標楷體"/>
                <w:color w:val="000000"/>
              </w:rPr>
              <w:lastRenderedPageBreak/>
              <w:t>特別敘明事項：</w:t>
            </w:r>
          </w:p>
          <w:p w14:paraId="43EB1E90" w14:textId="77777777" w:rsidR="009B023F" w:rsidRDefault="009B023F">
            <w:pPr>
              <w:rPr>
                <w:rFonts w:eastAsia="標楷體"/>
                <w:color w:val="000000"/>
              </w:rPr>
            </w:pPr>
          </w:p>
          <w:p w14:paraId="2E00502F" w14:textId="77777777" w:rsidR="009B023F" w:rsidRDefault="009B023F">
            <w:pPr>
              <w:rPr>
                <w:rFonts w:eastAsia="標楷體"/>
                <w:color w:val="000000"/>
              </w:rPr>
            </w:pPr>
          </w:p>
          <w:p w14:paraId="5D10D4B1" w14:textId="77777777" w:rsidR="009B023F" w:rsidRDefault="009B023F">
            <w:pPr>
              <w:rPr>
                <w:rFonts w:eastAsia="標楷體"/>
                <w:color w:val="000000"/>
              </w:rPr>
            </w:pPr>
          </w:p>
        </w:tc>
      </w:tr>
      <w:tr w:rsidR="009B023F" w14:paraId="192CA613" w14:textId="77777777">
        <w:tblPrEx>
          <w:tblCellMar>
            <w:top w:w="0" w:type="dxa"/>
            <w:bottom w:w="0" w:type="dxa"/>
          </w:tblCellMar>
        </w:tblPrEx>
        <w:trPr>
          <w:cantSplit/>
          <w:jc w:val="center"/>
        </w:trPr>
        <w:tc>
          <w:tcPr>
            <w:tcW w:w="1029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F45BD9D" w14:textId="77777777" w:rsidR="009B023F" w:rsidRDefault="0075731A">
            <w:pPr>
              <w:rPr>
                <w:rFonts w:eastAsia="標楷體"/>
                <w:color w:val="000000"/>
              </w:rPr>
            </w:pPr>
            <w:r>
              <w:rPr>
                <w:rFonts w:eastAsia="標楷體"/>
                <w:color w:val="000000"/>
              </w:rPr>
              <w:t>同業公會審查意見：</w:t>
            </w:r>
          </w:p>
          <w:p w14:paraId="31881CFB" w14:textId="77777777" w:rsidR="009B023F" w:rsidRDefault="009B023F">
            <w:pPr>
              <w:rPr>
                <w:rFonts w:eastAsia="標楷體"/>
                <w:color w:val="000000"/>
              </w:rPr>
            </w:pPr>
          </w:p>
          <w:p w14:paraId="4DCCA738" w14:textId="77777777" w:rsidR="009B023F" w:rsidRDefault="009B023F">
            <w:pPr>
              <w:rPr>
                <w:rFonts w:eastAsia="標楷體"/>
                <w:color w:val="000000"/>
              </w:rPr>
            </w:pPr>
          </w:p>
          <w:p w14:paraId="3F37E79C" w14:textId="77777777" w:rsidR="009B023F" w:rsidRDefault="009B023F">
            <w:pPr>
              <w:rPr>
                <w:rFonts w:eastAsia="標楷體"/>
                <w:color w:val="000000"/>
              </w:rPr>
            </w:pPr>
          </w:p>
          <w:p w14:paraId="5EBD2476" w14:textId="77777777" w:rsidR="009B023F" w:rsidRDefault="009B023F">
            <w:pPr>
              <w:rPr>
                <w:rFonts w:eastAsia="標楷體"/>
                <w:color w:val="000000"/>
              </w:rPr>
            </w:pPr>
          </w:p>
        </w:tc>
      </w:tr>
      <w:tr w:rsidR="009B023F" w14:paraId="1FAC393B" w14:textId="77777777">
        <w:tblPrEx>
          <w:tblCellMar>
            <w:top w:w="0" w:type="dxa"/>
            <w:bottom w:w="0" w:type="dxa"/>
          </w:tblCellMar>
        </w:tblPrEx>
        <w:trPr>
          <w:cantSplit/>
          <w:jc w:val="center"/>
        </w:trPr>
        <w:tc>
          <w:tcPr>
            <w:tcW w:w="10293"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0EBED42" w14:textId="77777777" w:rsidR="009B023F" w:rsidRDefault="0075731A">
            <w:pPr>
              <w:rPr>
                <w:rFonts w:eastAsia="標楷體"/>
                <w:color w:val="000000"/>
              </w:rPr>
            </w:pPr>
            <w:r>
              <w:rPr>
                <w:rFonts w:eastAsia="標楷體"/>
                <w:color w:val="000000"/>
              </w:rPr>
              <w:t>集保綜合審核意見：</w:t>
            </w:r>
          </w:p>
          <w:p w14:paraId="55F9EC52" w14:textId="77777777" w:rsidR="009B023F" w:rsidRDefault="009B023F">
            <w:pPr>
              <w:rPr>
                <w:rFonts w:eastAsia="標楷體"/>
                <w:color w:val="000000"/>
              </w:rPr>
            </w:pPr>
          </w:p>
          <w:p w14:paraId="6FEBDC7A" w14:textId="77777777" w:rsidR="009B023F" w:rsidRDefault="009B023F">
            <w:pPr>
              <w:rPr>
                <w:rFonts w:eastAsia="標楷體"/>
                <w:color w:val="000000"/>
              </w:rPr>
            </w:pPr>
          </w:p>
          <w:p w14:paraId="46763A97" w14:textId="77777777" w:rsidR="009B023F" w:rsidRDefault="009B023F">
            <w:pPr>
              <w:rPr>
                <w:rFonts w:eastAsia="標楷體"/>
                <w:color w:val="000000"/>
              </w:rPr>
            </w:pPr>
          </w:p>
          <w:p w14:paraId="40B29FE0" w14:textId="77777777" w:rsidR="009B023F" w:rsidRDefault="009B023F">
            <w:pPr>
              <w:rPr>
                <w:rFonts w:eastAsia="標楷體"/>
                <w:color w:val="000000"/>
              </w:rPr>
            </w:pPr>
          </w:p>
        </w:tc>
      </w:tr>
    </w:tbl>
    <w:p w14:paraId="2D1C52A5" w14:textId="77777777" w:rsidR="009B023F" w:rsidRDefault="009B023F">
      <w:pPr>
        <w:rPr>
          <w:rFonts w:eastAsia="標楷體"/>
          <w:color w:val="000000"/>
        </w:rPr>
      </w:pPr>
    </w:p>
    <w:p w14:paraId="329B3EFC" w14:textId="77777777" w:rsidR="009B023F" w:rsidRDefault="0075731A">
      <w:r>
        <w:rPr>
          <w:rFonts w:eastAsia="標楷體"/>
          <w:color w:val="000000"/>
        </w:rPr>
        <w:t xml:space="preserve">申報公司：　　　　　　　　　　　　　　　　　　</w:t>
      </w:r>
    </w:p>
    <w:p w14:paraId="08CC287C" w14:textId="77777777" w:rsidR="009B023F" w:rsidRDefault="009B023F">
      <w:pPr>
        <w:rPr>
          <w:rFonts w:eastAsia="標楷體"/>
          <w:color w:val="000000"/>
        </w:rPr>
      </w:pPr>
    </w:p>
    <w:p w14:paraId="1B39D5D8" w14:textId="77777777" w:rsidR="009B023F" w:rsidRDefault="009B023F">
      <w:pPr>
        <w:rPr>
          <w:rFonts w:eastAsia="標楷體"/>
          <w:color w:val="000000"/>
        </w:rPr>
      </w:pPr>
    </w:p>
    <w:p w14:paraId="14CD8D2C" w14:textId="77777777" w:rsidR="009B023F" w:rsidRDefault="0075731A">
      <w:pPr>
        <w:rPr>
          <w:rFonts w:eastAsia="標楷體"/>
          <w:color w:val="000000"/>
        </w:rPr>
      </w:pPr>
      <w:r>
        <w:rPr>
          <w:rFonts w:eastAsia="標楷體"/>
          <w:color w:val="000000"/>
        </w:rPr>
        <w:t>負</w:t>
      </w:r>
      <w:r>
        <w:rPr>
          <w:rFonts w:eastAsia="標楷體"/>
          <w:color w:val="000000"/>
        </w:rPr>
        <w:t xml:space="preserve">  </w:t>
      </w:r>
      <w:r>
        <w:rPr>
          <w:rFonts w:eastAsia="標楷體"/>
          <w:color w:val="000000"/>
        </w:rPr>
        <w:t>責</w:t>
      </w:r>
      <w:r>
        <w:rPr>
          <w:rFonts w:eastAsia="標楷體"/>
          <w:color w:val="000000"/>
        </w:rPr>
        <w:t xml:space="preserve">  </w:t>
      </w:r>
      <w:r>
        <w:rPr>
          <w:rFonts w:eastAsia="標楷體"/>
          <w:color w:val="000000"/>
        </w:rPr>
        <w:t>人：　　　　　　　　　　　　　　　　　　（簽名或蓋章）</w:t>
      </w:r>
    </w:p>
    <w:p w14:paraId="2CAD9253" w14:textId="77777777" w:rsidR="009B023F" w:rsidRDefault="009B023F">
      <w:pPr>
        <w:pStyle w:val="a5"/>
        <w:rPr>
          <w:color w:val="000000"/>
        </w:rPr>
      </w:pPr>
    </w:p>
    <w:p w14:paraId="19D33C9E" w14:textId="77777777" w:rsidR="009B023F" w:rsidRDefault="0075731A">
      <w:pPr>
        <w:pStyle w:val="a5"/>
        <w:pageBreakBefore/>
        <w:snapToGrid w:val="0"/>
        <w:spacing w:before="120" w:after="120"/>
      </w:pPr>
      <w:r>
        <w:rPr>
          <w:b/>
          <w:color w:val="000000"/>
          <w:sz w:val="28"/>
          <w:szCs w:val="28"/>
        </w:rPr>
        <w:lastRenderedPageBreak/>
        <w:t>填表注意事項：</w:t>
      </w:r>
    </w:p>
    <w:p w14:paraId="57C9314B" w14:textId="77777777" w:rsidR="009B023F" w:rsidRDefault="0075731A">
      <w:pPr>
        <w:snapToGrid w:val="0"/>
        <w:spacing w:before="120" w:after="120"/>
        <w:ind w:left="462" w:hanging="462"/>
        <w:jc w:val="both"/>
        <w:rPr>
          <w:rFonts w:eastAsia="標楷體"/>
          <w:color w:val="000000"/>
        </w:rPr>
      </w:pPr>
      <w:r>
        <w:rPr>
          <w:rFonts w:eastAsia="標楷體"/>
          <w:color w:val="000000"/>
        </w:rPr>
        <w:t>一、總代理人應據實填報，不得錯誤、疏漏、虛偽不實、詐欺、隱匿或其他足致他人誤信之情事，違反者，</w:t>
      </w:r>
      <w:proofErr w:type="gramStart"/>
      <w:r>
        <w:rPr>
          <w:rFonts w:eastAsia="標楷體"/>
          <w:color w:val="000000"/>
        </w:rPr>
        <w:t>逕</w:t>
      </w:r>
      <w:proofErr w:type="gramEnd"/>
      <w:r>
        <w:rPr>
          <w:rFonts w:eastAsia="標楷體"/>
          <w:color w:val="000000"/>
        </w:rPr>
        <w:t>依相關法令辦理。</w:t>
      </w:r>
    </w:p>
    <w:p w14:paraId="5C74F76A" w14:textId="77777777" w:rsidR="009B023F" w:rsidRDefault="0075731A">
      <w:pPr>
        <w:pStyle w:val="a5"/>
        <w:snapToGrid w:val="0"/>
        <w:spacing w:before="120" w:after="120"/>
        <w:ind w:left="499" w:hanging="482"/>
        <w:rPr>
          <w:color w:val="000000"/>
        </w:rPr>
      </w:pPr>
      <w:r>
        <w:rPr>
          <w:color w:val="000000"/>
        </w:rPr>
        <w:t>二、總代理人前業經核准或申報生效募集及銷售其他境外基金者，第二之</w:t>
      </w:r>
      <w:r>
        <w:rPr>
          <w:color w:val="000000"/>
        </w:rPr>
        <w:t>(</w:t>
      </w:r>
      <w:r>
        <w:rPr>
          <w:color w:val="000000"/>
        </w:rPr>
        <w:t>一</w:t>
      </w:r>
      <w:r>
        <w:rPr>
          <w:color w:val="000000"/>
        </w:rPr>
        <w:t>)</w:t>
      </w:r>
      <w:proofErr w:type="gramStart"/>
      <w:r>
        <w:rPr>
          <w:color w:val="000000"/>
        </w:rPr>
        <w:t>項書件得檢附影</w:t>
      </w:r>
      <w:proofErr w:type="gramEnd"/>
      <w:r>
        <w:rPr>
          <w:color w:val="000000"/>
        </w:rPr>
        <w:t>本。</w:t>
      </w:r>
    </w:p>
    <w:p w14:paraId="0E44904D" w14:textId="77777777" w:rsidR="009B023F" w:rsidRDefault="0075731A">
      <w:pPr>
        <w:pStyle w:val="a5"/>
        <w:snapToGrid w:val="0"/>
        <w:spacing w:before="120" w:after="120"/>
        <w:ind w:left="499" w:hanging="482"/>
      </w:pPr>
      <w:r>
        <w:rPr>
          <w:color w:val="000000"/>
        </w:rPr>
        <w:t>三、第二之</w:t>
      </w:r>
      <w:r>
        <w:rPr>
          <w:color w:val="000000"/>
        </w:rPr>
        <w:t>(</w:t>
      </w:r>
      <w:r>
        <w:rPr>
          <w:color w:val="000000"/>
        </w:rPr>
        <w:t>二</w:t>
      </w:r>
      <w:r>
        <w:rPr>
          <w:color w:val="000000"/>
        </w:rPr>
        <w:t>)</w:t>
      </w:r>
      <w:proofErr w:type="gramStart"/>
      <w:r>
        <w:rPr>
          <w:color w:val="000000"/>
        </w:rPr>
        <w:t>項書件</w:t>
      </w:r>
      <w:proofErr w:type="gramEnd"/>
      <w:r>
        <w:rPr>
          <w:color w:val="000000"/>
        </w:rPr>
        <w:t>，與最近</w:t>
      </w:r>
      <w:proofErr w:type="gramStart"/>
      <w:r>
        <w:rPr>
          <w:color w:val="000000"/>
        </w:rPr>
        <w:t>一</w:t>
      </w:r>
      <w:proofErr w:type="gramEnd"/>
      <w:r>
        <w:rPr>
          <w:color w:val="000000"/>
        </w:rPr>
        <w:t>年內經核准或申報生效募集及銷售其他境外基金，</w:t>
      </w:r>
      <w:proofErr w:type="gramStart"/>
      <w:r>
        <w:rPr>
          <w:color w:val="000000"/>
        </w:rPr>
        <w:t>所檢具</w:t>
      </w:r>
      <w:proofErr w:type="gramEnd"/>
      <w:r>
        <w:rPr>
          <w:color w:val="000000"/>
        </w:rPr>
        <w:t>之財務報告為同期者，得免</w:t>
      </w:r>
      <w:proofErr w:type="gramStart"/>
      <w:r>
        <w:rPr>
          <w:color w:val="000000"/>
        </w:rPr>
        <w:t>附</w:t>
      </w:r>
      <w:proofErr w:type="gramEnd"/>
      <w:r>
        <w:rPr>
          <w:color w:val="000000"/>
        </w:rPr>
        <w:t>；第二之</w:t>
      </w:r>
      <w:r>
        <w:rPr>
          <w:color w:val="000000"/>
        </w:rPr>
        <w:t>(</w:t>
      </w:r>
      <w:r>
        <w:rPr>
          <w:color w:val="000000"/>
        </w:rPr>
        <w:t>三</w:t>
      </w:r>
      <w:r>
        <w:rPr>
          <w:color w:val="000000"/>
        </w:rPr>
        <w:t>)</w:t>
      </w:r>
      <w:proofErr w:type="gramStart"/>
      <w:r>
        <w:rPr>
          <w:color w:val="000000"/>
        </w:rPr>
        <w:t>項書件</w:t>
      </w:r>
      <w:proofErr w:type="gramEnd"/>
      <w:r>
        <w:rPr>
          <w:color w:val="000000"/>
        </w:rPr>
        <w:t>於首次申請（報）擔任總代理人時提供，嗣後申報得免</w:t>
      </w:r>
      <w:proofErr w:type="gramStart"/>
      <w:r>
        <w:rPr>
          <w:color w:val="000000"/>
        </w:rPr>
        <w:t>附</w:t>
      </w:r>
      <w:proofErr w:type="gramEnd"/>
      <w:r>
        <w:rPr>
          <w:color w:val="000000"/>
        </w:rPr>
        <w:t>。</w:t>
      </w:r>
    </w:p>
    <w:p w14:paraId="776097EF" w14:textId="77777777" w:rsidR="009B023F" w:rsidRDefault="0075731A">
      <w:pPr>
        <w:pStyle w:val="a5"/>
        <w:snapToGrid w:val="0"/>
        <w:spacing w:before="120" w:after="120"/>
        <w:ind w:left="499" w:hanging="482"/>
        <w:rPr>
          <w:color w:val="000000"/>
        </w:rPr>
      </w:pPr>
      <w:r>
        <w:rPr>
          <w:color w:val="000000"/>
        </w:rPr>
        <w:t>四、下列</w:t>
      </w:r>
      <w:proofErr w:type="gramStart"/>
      <w:r>
        <w:rPr>
          <w:color w:val="000000"/>
        </w:rPr>
        <w:t>書件得僅</w:t>
      </w:r>
      <w:proofErr w:type="gramEnd"/>
      <w:r>
        <w:rPr>
          <w:color w:val="000000"/>
        </w:rPr>
        <w:t>提供相關頁次：</w:t>
      </w:r>
    </w:p>
    <w:p w14:paraId="4FB1B458" w14:textId="77777777" w:rsidR="009B023F" w:rsidRDefault="0075731A">
      <w:pPr>
        <w:pStyle w:val="a5"/>
        <w:snapToGrid w:val="0"/>
        <w:spacing w:before="120" w:after="120"/>
        <w:ind w:left="739" w:hanging="482"/>
        <w:rPr>
          <w:color w:val="000000"/>
        </w:rPr>
      </w:pPr>
      <w:r>
        <w:rPr>
          <w:color w:val="000000"/>
        </w:rPr>
        <w:t>(</w:t>
      </w:r>
      <w:proofErr w:type="gramStart"/>
      <w:r>
        <w:rPr>
          <w:color w:val="000000"/>
        </w:rPr>
        <w:t>一</w:t>
      </w:r>
      <w:proofErr w:type="gramEnd"/>
      <w:r>
        <w:rPr>
          <w:color w:val="000000"/>
        </w:rPr>
        <w:t>)</w:t>
      </w:r>
      <w:r>
        <w:rPr>
          <w:color w:val="000000"/>
        </w:rPr>
        <w:t>第二之</w:t>
      </w:r>
      <w:r>
        <w:rPr>
          <w:color w:val="000000"/>
        </w:rPr>
        <w:t>(</w:t>
      </w:r>
      <w:r>
        <w:rPr>
          <w:color w:val="000000"/>
        </w:rPr>
        <w:t>二</w:t>
      </w:r>
      <w:r>
        <w:rPr>
          <w:color w:val="000000"/>
        </w:rPr>
        <w:t>)</w:t>
      </w:r>
      <w:proofErr w:type="gramStart"/>
      <w:r>
        <w:rPr>
          <w:color w:val="000000"/>
        </w:rPr>
        <w:t>項書件得</w:t>
      </w:r>
      <w:proofErr w:type="gramEnd"/>
      <w:r>
        <w:rPr>
          <w:color w:val="000000"/>
        </w:rPr>
        <w:t>提供財務報告資產負債表相關頁次。</w:t>
      </w:r>
    </w:p>
    <w:p w14:paraId="6F606C02" w14:textId="77777777" w:rsidR="009B023F" w:rsidRDefault="0075731A">
      <w:pPr>
        <w:pStyle w:val="a5"/>
        <w:snapToGrid w:val="0"/>
        <w:spacing w:before="120" w:after="120"/>
        <w:ind w:left="739" w:hanging="482"/>
        <w:rPr>
          <w:color w:val="000000"/>
        </w:rPr>
      </w:pPr>
      <w:r>
        <w:rPr>
          <w:color w:val="000000"/>
        </w:rPr>
        <w:t>(</w:t>
      </w:r>
      <w:r>
        <w:rPr>
          <w:color w:val="000000"/>
        </w:rPr>
        <w:t>二</w:t>
      </w:r>
      <w:r>
        <w:rPr>
          <w:color w:val="000000"/>
        </w:rPr>
        <w:t>)</w:t>
      </w:r>
      <w:proofErr w:type="gramStart"/>
      <w:r>
        <w:rPr>
          <w:color w:val="000000"/>
        </w:rPr>
        <w:t>第七項書件</w:t>
      </w:r>
      <w:proofErr w:type="gramEnd"/>
      <w:r>
        <w:rPr>
          <w:color w:val="000000"/>
        </w:rPr>
        <w:t>，得提供會計師查核報告以及與本次申報境外基金資訊之相關頁次</w:t>
      </w:r>
      <w:r>
        <w:rPr>
          <w:color w:val="000000"/>
        </w:rPr>
        <w:t xml:space="preserve"> </w:t>
      </w:r>
      <w:r>
        <w:rPr>
          <w:color w:val="000000"/>
        </w:rPr>
        <w:t>(</w:t>
      </w:r>
      <w:r>
        <w:rPr>
          <w:color w:val="000000"/>
        </w:rPr>
        <w:t>至少需節錄「淨資產報表」及「年度營運報告暨資產淨值變動表」相關段落</w:t>
      </w:r>
      <w:r>
        <w:rPr>
          <w:color w:val="000000"/>
        </w:rPr>
        <w:t xml:space="preserve">) </w:t>
      </w:r>
      <w:r>
        <w:rPr>
          <w:color w:val="000000"/>
        </w:rPr>
        <w:t>與其中文簡譯本。</w:t>
      </w:r>
    </w:p>
    <w:p w14:paraId="611C72F9" w14:textId="77777777" w:rsidR="009B023F" w:rsidRDefault="0075731A">
      <w:pPr>
        <w:pStyle w:val="a5"/>
        <w:snapToGrid w:val="0"/>
        <w:spacing w:before="120" w:after="120"/>
        <w:ind w:left="739" w:hanging="482"/>
        <w:rPr>
          <w:color w:val="000000"/>
        </w:rPr>
      </w:pPr>
      <w:r>
        <w:rPr>
          <w:color w:val="000000"/>
        </w:rPr>
        <w:t>(</w:t>
      </w:r>
      <w:r>
        <w:rPr>
          <w:color w:val="000000"/>
        </w:rPr>
        <w:t>三</w:t>
      </w:r>
      <w:r>
        <w:rPr>
          <w:color w:val="000000"/>
        </w:rPr>
        <w:t>)</w:t>
      </w:r>
      <w:proofErr w:type="gramStart"/>
      <w:r>
        <w:rPr>
          <w:color w:val="000000"/>
        </w:rPr>
        <w:t>第十項書件</w:t>
      </w:r>
      <w:proofErr w:type="gramEnd"/>
      <w:r>
        <w:rPr>
          <w:color w:val="000000"/>
        </w:rPr>
        <w:t>，得提供公開說明書及其中譯本一般資訊及本次申報基金資訊之相關頁次。</w:t>
      </w:r>
    </w:p>
    <w:p w14:paraId="1B73AA2D" w14:textId="77777777" w:rsidR="009B023F" w:rsidRDefault="0075731A">
      <w:pPr>
        <w:pStyle w:val="a5"/>
        <w:snapToGrid w:val="0"/>
        <w:spacing w:before="120" w:after="120"/>
        <w:ind w:left="499" w:hanging="482"/>
        <w:rPr>
          <w:color w:val="000000"/>
        </w:rPr>
      </w:pPr>
      <w:r>
        <w:rPr>
          <w:color w:val="000000"/>
        </w:rPr>
        <w:t>五、總代理人前業經核准或申報生效募集及銷售同一境外基金管理機構管理之境外基金者：</w:t>
      </w:r>
    </w:p>
    <w:p w14:paraId="3F545385" w14:textId="77777777" w:rsidR="009B023F" w:rsidRDefault="0075731A">
      <w:pPr>
        <w:pStyle w:val="a5"/>
        <w:snapToGrid w:val="0"/>
        <w:spacing w:before="120" w:after="120"/>
        <w:ind w:left="739" w:hanging="482"/>
        <w:rPr>
          <w:color w:val="000000"/>
        </w:rPr>
      </w:pPr>
      <w:r>
        <w:rPr>
          <w:color w:val="000000"/>
        </w:rPr>
        <w:t>(</w:t>
      </w:r>
      <w:proofErr w:type="gramStart"/>
      <w:r>
        <w:rPr>
          <w:color w:val="000000"/>
        </w:rPr>
        <w:t>一</w:t>
      </w:r>
      <w:proofErr w:type="gramEnd"/>
      <w:r>
        <w:rPr>
          <w:color w:val="000000"/>
        </w:rPr>
        <w:t>)</w:t>
      </w:r>
      <w:proofErr w:type="gramStart"/>
      <w:r>
        <w:rPr>
          <w:color w:val="000000"/>
        </w:rPr>
        <w:t>第三項書件</w:t>
      </w:r>
      <w:proofErr w:type="gramEnd"/>
      <w:r>
        <w:rPr>
          <w:color w:val="000000"/>
        </w:rPr>
        <w:t>，得檢附前次業經核准或申報生效募集及銷售之境外</w:t>
      </w:r>
      <w:proofErr w:type="gramStart"/>
      <w:r>
        <w:rPr>
          <w:color w:val="000000"/>
        </w:rPr>
        <w:t>基金迄本次</w:t>
      </w:r>
      <w:proofErr w:type="gramEnd"/>
      <w:r>
        <w:rPr>
          <w:color w:val="000000"/>
        </w:rPr>
        <w:t>申報之境外基金</w:t>
      </w:r>
      <w:proofErr w:type="gramStart"/>
      <w:r>
        <w:rPr>
          <w:color w:val="000000"/>
        </w:rPr>
        <w:t>期間異</w:t>
      </w:r>
      <w:proofErr w:type="gramEnd"/>
      <w:r>
        <w:rPr>
          <w:color w:val="000000"/>
        </w:rPr>
        <w:t>動之契約影本及其中譯本。若未有變更得免</w:t>
      </w:r>
      <w:proofErr w:type="gramStart"/>
      <w:r>
        <w:rPr>
          <w:color w:val="000000"/>
        </w:rPr>
        <w:t>附</w:t>
      </w:r>
      <w:proofErr w:type="gramEnd"/>
      <w:r>
        <w:rPr>
          <w:color w:val="000000"/>
        </w:rPr>
        <w:t>，惟應於備註欄敘明「前所簽訂總代理契約之代理範圍已涵蓋本次申報之基金，至本次申報之境外基金前總代理契約未有異動。」及加</w:t>
      </w:r>
      <w:proofErr w:type="gramStart"/>
      <w:r>
        <w:rPr>
          <w:color w:val="000000"/>
        </w:rPr>
        <w:t>註</w:t>
      </w:r>
      <w:proofErr w:type="gramEnd"/>
      <w:r>
        <w:rPr>
          <w:color w:val="000000"/>
        </w:rPr>
        <w:t>前次送</w:t>
      </w:r>
      <w:proofErr w:type="gramStart"/>
      <w:r>
        <w:rPr>
          <w:color w:val="000000"/>
        </w:rPr>
        <w:t>件檢附所</w:t>
      </w:r>
      <w:proofErr w:type="gramEnd"/>
      <w:r>
        <w:rPr>
          <w:color w:val="000000"/>
        </w:rPr>
        <w:t>簽訂契約及增補契約之基金名稱及經核准或申報生效之日期與文號。</w:t>
      </w:r>
    </w:p>
    <w:p w14:paraId="2114E09F" w14:textId="77777777" w:rsidR="009B023F" w:rsidRDefault="0075731A">
      <w:pPr>
        <w:pStyle w:val="a5"/>
        <w:snapToGrid w:val="0"/>
        <w:spacing w:before="120" w:after="120"/>
        <w:ind w:left="739" w:hanging="482"/>
        <w:rPr>
          <w:color w:val="000000"/>
        </w:rPr>
      </w:pPr>
      <w:r>
        <w:rPr>
          <w:color w:val="000000"/>
        </w:rPr>
        <w:t>(</w:t>
      </w:r>
      <w:r>
        <w:rPr>
          <w:color w:val="000000"/>
        </w:rPr>
        <w:t>二</w:t>
      </w:r>
      <w:r>
        <w:rPr>
          <w:color w:val="000000"/>
        </w:rPr>
        <w:t>)</w:t>
      </w:r>
      <w:proofErr w:type="gramStart"/>
      <w:r>
        <w:rPr>
          <w:color w:val="000000"/>
        </w:rPr>
        <w:t>第四項書件</w:t>
      </w:r>
      <w:proofErr w:type="gramEnd"/>
      <w:r>
        <w:rPr>
          <w:color w:val="000000"/>
        </w:rPr>
        <w:t>有關人員培訓計畫，得檢附前次業經核准或申報生效募集及銷售之境外</w:t>
      </w:r>
      <w:proofErr w:type="gramStart"/>
      <w:r>
        <w:rPr>
          <w:color w:val="000000"/>
        </w:rPr>
        <w:t>基金迄本次</w:t>
      </w:r>
      <w:proofErr w:type="gramEnd"/>
      <w:r>
        <w:rPr>
          <w:color w:val="000000"/>
        </w:rPr>
        <w:t>申報之境外基金</w:t>
      </w:r>
      <w:proofErr w:type="gramStart"/>
      <w:r>
        <w:rPr>
          <w:color w:val="000000"/>
        </w:rPr>
        <w:t>期間異</w:t>
      </w:r>
      <w:proofErr w:type="gramEnd"/>
      <w:r>
        <w:rPr>
          <w:color w:val="000000"/>
        </w:rPr>
        <w:t>動之契約影本及其中譯本。若未有變更得免</w:t>
      </w:r>
      <w:proofErr w:type="gramStart"/>
      <w:r>
        <w:rPr>
          <w:color w:val="000000"/>
        </w:rPr>
        <w:t>附</w:t>
      </w:r>
      <w:proofErr w:type="gramEnd"/>
      <w:r>
        <w:rPr>
          <w:color w:val="000000"/>
        </w:rPr>
        <w:t>，惟應於備註欄敘明「前次申請</w:t>
      </w:r>
      <w:r>
        <w:rPr>
          <w:color w:val="000000"/>
        </w:rPr>
        <w:t>(</w:t>
      </w:r>
      <w:r>
        <w:rPr>
          <w:color w:val="000000"/>
        </w:rPr>
        <w:t>報</w:t>
      </w:r>
      <w:r>
        <w:rPr>
          <w:color w:val="000000"/>
        </w:rPr>
        <w:t>)</w:t>
      </w:r>
      <w:r>
        <w:rPr>
          <w:color w:val="000000"/>
        </w:rPr>
        <w:t>之境外</w:t>
      </w:r>
      <w:proofErr w:type="gramStart"/>
      <w:r>
        <w:rPr>
          <w:color w:val="000000"/>
        </w:rPr>
        <w:t>基金迄本次</w:t>
      </w:r>
      <w:proofErr w:type="gramEnd"/>
      <w:r>
        <w:rPr>
          <w:color w:val="000000"/>
        </w:rPr>
        <w:t>申報之境外基金前，與境外基金機構所簽訂之人員培訓計畫未有異動。」及加</w:t>
      </w:r>
      <w:proofErr w:type="gramStart"/>
      <w:r>
        <w:rPr>
          <w:color w:val="000000"/>
        </w:rPr>
        <w:t>註</w:t>
      </w:r>
      <w:proofErr w:type="gramEnd"/>
      <w:r>
        <w:rPr>
          <w:color w:val="000000"/>
        </w:rPr>
        <w:t>前次送</w:t>
      </w:r>
      <w:proofErr w:type="gramStart"/>
      <w:r>
        <w:rPr>
          <w:color w:val="000000"/>
        </w:rPr>
        <w:t>件檢附所</w:t>
      </w:r>
      <w:proofErr w:type="gramEnd"/>
      <w:r>
        <w:rPr>
          <w:color w:val="000000"/>
        </w:rPr>
        <w:t>簽訂契約及增補契約之基金名稱及經核准或申報生效之日期與文號。</w:t>
      </w:r>
    </w:p>
    <w:p w14:paraId="38F9FC4B" w14:textId="77777777" w:rsidR="009B023F" w:rsidRDefault="0075731A">
      <w:pPr>
        <w:pStyle w:val="a5"/>
        <w:snapToGrid w:val="0"/>
        <w:spacing w:before="120" w:after="120"/>
        <w:ind w:left="739" w:hanging="482"/>
        <w:rPr>
          <w:color w:val="000000"/>
        </w:rPr>
      </w:pPr>
      <w:r>
        <w:rPr>
          <w:color w:val="000000"/>
        </w:rPr>
        <w:t>(</w:t>
      </w:r>
      <w:r>
        <w:rPr>
          <w:color w:val="000000"/>
        </w:rPr>
        <w:t>三</w:t>
      </w:r>
      <w:r>
        <w:rPr>
          <w:color w:val="000000"/>
        </w:rPr>
        <w:t>)</w:t>
      </w:r>
      <w:r>
        <w:rPr>
          <w:color w:val="000000"/>
        </w:rPr>
        <w:t>第十三之</w:t>
      </w:r>
      <w:r>
        <w:rPr>
          <w:color w:val="000000"/>
        </w:rPr>
        <w:t>(</w:t>
      </w:r>
      <w:r>
        <w:rPr>
          <w:color w:val="000000"/>
        </w:rPr>
        <w:t>一</w:t>
      </w:r>
      <w:r>
        <w:rPr>
          <w:color w:val="000000"/>
        </w:rPr>
        <w:t>)</w:t>
      </w:r>
      <w:proofErr w:type="gramStart"/>
      <w:r>
        <w:rPr>
          <w:color w:val="000000"/>
        </w:rPr>
        <w:t>項書件</w:t>
      </w:r>
      <w:proofErr w:type="gramEnd"/>
      <w:r>
        <w:rPr>
          <w:color w:val="000000"/>
        </w:rPr>
        <w:t>，得以境外基金管理機構管理之境外基金最近期經會計師查核簽證之財務報告佐證之，惟應另提供基金名稱與規模明細，且將各基金規模加總（不同計價幣別者須先換算為同一幣別）。</w:t>
      </w:r>
    </w:p>
    <w:p w14:paraId="69509C7D" w14:textId="77777777" w:rsidR="009B023F" w:rsidRDefault="0075731A">
      <w:pPr>
        <w:pStyle w:val="a5"/>
        <w:snapToGrid w:val="0"/>
        <w:spacing w:before="120" w:after="120"/>
        <w:ind w:left="739" w:hanging="482"/>
        <w:rPr>
          <w:color w:val="000000"/>
        </w:rPr>
      </w:pPr>
      <w:r>
        <w:rPr>
          <w:color w:val="000000"/>
        </w:rPr>
        <w:t>(</w:t>
      </w:r>
      <w:r>
        <w:rPr>
          <w:color w:val="000000"/>
        </w:rPr>
        <w:t>四</w:t>
      </w:r>
      <w:r>
        <w:rPr>
          <w:color w:val="000000"/>
        </w:rPr>
        <w:t>)</w:t>
      </w:r>
      <w:r>
        <w:rPr>
          <w:color w:val="000000"/>
        </w:rPr>
        <w:t>第十三之</w:t>
      </w:r>
      <w:r>
        <w:rPr>
          <w:color w:val="000000"/>
        </w:rPr>
        <w:t>(</w:t>
      </w:r>
      <w:r>
        <w:rPr>
          <w:color w:val="000000"/>
        </w:rPr>
        <w:t>三</w:t>
      </w:r>
      <w:r>
        <w:rPr>
          <w:color w:val="000000"/>
        </w:rPr>
        <w:t>)</w:t>
      </w:r>
      <w:r>
        <w:rPr>
          <w:color w:val="000000"/>
        </w:rPr>
        <w:t>項，若未有變更得免</w:t>
      </w:r>
      <w:proofErr w:type="gramStart"/>
      <w:r>
        <w:rPr>
          <w:color w:val="000000"/>
        </w:rPr>
        <w:t>附</w:t>
      </w:r>
      <w:proofErr w:type="gramEnd"/>
      <w:r>
        <w:rPr>
          <w:color w:val="000000"/>
        </w:rPr>
        <w:t>，惟應於備註欄敘明原因。</w:t>
      </w:r>
    </w:p>
    <w:p w14:paraId="5490600B" w14:textId="77777777" w:rsidR="009B023F" w:rsidRDefault="0075731A">
      <w:pPr>
        <w:pStyle w:val="a5"/>
        <w:snapToGrid w:val="0"/>
        <w:spacing w:before="120" w:after="120"/>
        <w:ind w:left="739" w:hanging="482"/>
        <w:rPr>
          <w:color w:val="000000"/>
        </w:rPr>
      </w:pPr>
      <w:r>
        <w:rPr>
          <w:color w:val="000000"/>
        </w:rPr>
        <w:t>(</w:t>
      </w:r>
      <w:r>
        <w:rPr>
          <w:color w:val="000000"/>
        </w:rPr>
        <w:t>五</w:t>
      </w:r>
      <w:r>
        <w:rPr>
          <w:color w:val="000000"/>
        </w:rPr>
        <w:t>)</w:t>
      </w:r>
      <w:proofErr w:type="gramStart"/>
      <w:r>
        <w:rPr>
          <w:color w:val="000000"/>
        </w:rPr>
        <w:t>第二十四項書件</w:t>
      </w:r>
      <w:proofErr w:type="gramEnd"/>
      <w:r>
        <w:rPr>
          <w:color w:val="000000"/>
        </w:rPr>
        <w:t>，若未有變更得免</w:t>
      </w:r>
      <w:proofErr w:type="gramStart"/>
      <w:r>
        <w:rPr>
          <w:color w:val="000000"/>
        </w:rPr>
        <w:t>附</w:t>
      </w:r>
      <w:proofErr w:type="gramEnd"/>
      <w:r>
        <w:rPr>
          <w:color w:val="000000"/>
        </w:rPr>
        <w:t>，惟應於備註欄敘明原因及加</w:t>
      </w:r>
      <w:proofErr w:type="gramStart"/>
      <w:r>
        <w:rPr>
          <w:color w:val="000000"/>
        </w:rPr>
        <w:t>註</w:t>
      </w:r>
      <w:proofErr w:type="gramEnd"/>
      <w:r>
        <w:rPr>
          <w:color w:val="000000"/>
        </w:rPr>
        <w:t>前次</w:t>
      </w:r>
      <w:proofErr w:type="gramStart"/>
      <w:r>
        <w:rPr>
          <w:color w:val="000000"/>
        </w:rPr>
        <w:t>送件檢附</w:t>
      </w:r>
      <w:proofErr w:type="gramEnd"/>
      <w:r>
        <w:rPr>
          <w:color w:val="000000"/>
        </w:rPr>
        <w:t>相關書件之基金名稱及經核准或申報生效之日期與文號。</w:t>
      </w:r>
    </w:p>
    <w:p w14:paraId="41C170C5" w14:textId="77777777" w:rsidR="009B023F" w:rsidRDefault="0075731A">
      <w:pPr>
        <w:pStyle w:val="a5"/>
        <w:snapToGrid w:val="0"/>
        <w:spacing w:before="120" w:after="120"/>
        <w:ind w:left="739" w:hanging="482"/>
      </w:pPr>
      <w:r>
        <w:rPr>
          <w:color w:val="000000"/>
        </w:rPr>
        <w:t>(</w:t>
      </w:r>
      <w:r>
        <w:rPr>
          <w:color w:val="000000"/>
        </w:rPr>
        <w:t>六</w:t>
      </w:r>
      <w:r>
        <w:rPr>
          <w:color w:val="000000"/>
        </w:rPr>
        <w:t>)</w:t>
      </w:r>
      <w:r>
        <w:rPr>
          <w:color w:val="000000"/>
        </w:rPr>
        <w:t>第十四項聲明文件若係概括經</w:t>
      </w:r>
      <w:r>
        <w:rPr>
          <w:rFonts w:ascii="Times New Roman" w:hAnsi="Times New Roman"/>
          <w:bCs w:val="0"/>
          <w:color w:val="000000"/>
        </w:rPr>
        <w:t>金管會</w:t>
      </w:r>
      <w:r>
        <w:rPr>
          <w:color w:val="000000"/>
        </w:rPr>
        <w:t>核准或申報生效之境外基金（而非針對本次申報之境外基金）作聲明者，得</w:t>
      </w:r>
      <w:proofErr w:type="gramStart"/>
      <w:r>
        <w:rPr>
          <w:color w:val="000000"/>
        </w:rPr>
        <w:t>檢附影本</w:t>
      </w:r>
      <w:proofErr w:type="gramEnd"/>
      <w:r>
        <w:rPr>
          <w:color w:val="000000"/>
        </w:rPr>
        <w:t>。</w:t>
      </w:r>
    </w:p>
    <w:p w14:paraId="35100930" w14:textId="77777777" w:rsidR="009B023F" w:rsidRDefault="0075731A">
      <w:pPr>
        <w:pStyle w:val="a5"/>
        <w:snapToGrid w:val="0"/>
        <w:spacing w:before="120" w:after="120"/>
        <w:ind w:left="739" w:hanging="482"/>
      </w:pPr>
      <w:r>
        <w:rPr>
          <w:color w:val="000000"/>
        </w:rPr>
        <w:t>(</w:t>
      </w:r>
      <w:r>
        <w:rPr>
          <w:color w:val="000000"/>
        </w:rPr>
        <w:t>七</w:t>
      </w:r>
      <w:r>
        <w:rPr>
          <w:color w:val="000000"/>
        </w:rPr>
        <w:t>)</w:t>
      </w:r>
      <w:proofErr w:type="gramStart"/>
      <w:r>
        <w:rPr>
          <w:color w:val="000000"/>
        </w:rPr>
        <w:t>第十六項書件</w:t>
      </w:r>
      <w:proofErr w:type="gramEnd"/>
      <w:r>
        <w:rPr>
          <w:color w:val="000000"/>
        </w:rPr>
        <w:t>，與最近</w:t>
      </w:r>
      <w:proofErr w:type="gramStart"/>
      <w:r>
        <w:rPr>
          <w:color w:val="000000"/>
        </w:rPr>
        <w:t>一</w:t>
      </w:r>
      <w:proofErr w:type="gramEnd"/>
      <w:r>
        <w:rPr>
          <w:color w:val="000000"/>
        </w:rPr>
        <w:t>年內經核准或申報生效募集及銷售同一境外基金管理機構管理之境外基金，</w:t>
      </w:r>
      <w:proofErr w:type="gramStart"/>
      <w:r>
        <w:rPr>
          <w:color w:val="000000"/>
        </w:rPr>
        <w:t>所檢具</w:t>
      </w:r>
      <w:proofErr w:type="gramEnd"/>
      <w:r>
        <w:rPr>
          <w:color w:val="000000"/>
        </w:rPr>
        <w:t>之財務報告為同期者，得免</w:t>
      </w:r>
      <w:proofErr w:type="gramStart"/>
      <w:r>
        <w:rPr>
          <w:color w:val="000000"/>
        </w:rPr>
        <w:t>附</w:t>
      </w:r>
      <w:proofErr w:type="gramEnd"/>
      <w:r>
        <w:rPr>
          <w:color w:val="000000"/>
        </w:rPr>
        <w:t>。</w:t>
      </w:r>
    </w:p>
    <w:p w14:paraId="433D4530" w14:textId="77777777" w:rsidR="009B023F" w:rsidRDefault="0075731A">
      <w:pPr>
        <w:pStyle w:val="a5"/>
        <w:snapToGrid w:val="0"/>
        <w:spacing w:before="120" w:after="120"/>
        <w:ind w:left="739" w:hanging="482"/>
        <w:rPr>
          <w:color w:val="000000"/>
        </w:rPr>
      </w:pPr>
      <w:r>
        <w:rPr>
          <w:color w:val="000000"/>
        </w:rPr>
        <w:t>(</w:t>
      </w:r>
      <w:r>
        <w:rPr>
          <w:color w:val="000000"/>
        </w:rPr>
        <w:t>八</w:t>
      </w:r>
      <w:r>
        <w:rPr>
          <w:color w:val="000000"/>
        </w:rPr>
        <w:t>)</w:t>
      </w:r>
      <w:proofErr w:type="gramStart"/>
      <w:r>
        <w:rPr>
          <w:color w:val="000000"/>
        </w:rPr>
        <w:t>第十八項書件</w:t>
      </w:r>
      <w:proofErr w:type="gramEnd"/>
      <w:r>
        <w:rPr>
          <w:color w:val="000000"/>
        </w:rPr>
        <w:t>，與前業經核准或申報生效募集及銷售同一境外基金管理機構所管理之境外基金，具相同基金註冊地者，得</w:t>
      </w:r>
      <w:proofErr w:type="gramStart"/>
      <w:r>
        <w:rPr>
          <w:color w:val="000000"/>
        </w:rPr>
        <w:t>檢附影本</w:t>
      </w:r>
      <w:proofErr w:type="gramEnd"/>
      <w:r>
        <w:rPr>
          <w:color w:val="000000"/>
        </w:rPr>
        <w:t>。</w:t>
      </w:r>
    </w:p>
    <w:p w14:paraId="2094189B" w14:textId="77777777" w:rsidR="009B023F" w:rsidRDefault="0075731A">
      <w:pPr>
        <w:pStyle w:val="a5"/>
        <w:snapToGrid w:val="0"/>
        <w:spacing w:before="120" w:after="120"/>
        <w:ind w:left="739" w:hanging="482"/>
        <w:rPr>
          <w:color w:val="000000"/>
        </w:rPr>
      </w:pPr>
      <w:r>
        <w:rPr>
          <w:color w:val="000000"/>
        </w:rPr>
        <w:t>(</w:t>
      </w:r>
      <w:r>
        <w:rPr>
          <w:color w:val="000000"/>
        </w:rPr>
        <w:t>九</w:t>
      </w:r>
      <w:r>
        <w:rPr>
          <w:color w:val="000000"/>
        </w:rPr>
        <w:t>)</w:t>
      </w:r>
      <w:proofErr w:type="gramStart"/>
      <w:r>
        <w:rPr>
          <w:color w:val="000000"/>
        </w:rPr>
        <w:t>第十九項書件</w:t>
      </w:r>
      <w:proofErr w:type="gramEnd"/>
      <w:r>
        <w:rPr>
          <w:color w:val="000000"/>
        </w:rPr>
        <w:t>，若未有變更，得</w:t>
      </w:r>
      <w:proofErr w:type="gramStart"/>
      <w:r>
        <w:rPr>
          <w:color w:val="000000"/>
        </w:rPr>
        <w:t>檢附影本</w:t>
      </w:r>
      <w:proofErr w:type="gramEnd"/>
      <w:r>
        <w:rPr>
          <w:color w:val="000000"/>
        </w:rPr>
        <w:t>。</w:t>
      </w:r>
    </w:p>
    <w:p w14:paraId="6C80C7CD" w14:textId="77777777" w:rsidR="009B023F" w:rsidRDefault="0075731A">
      <w:pPr>
        <w:pStyle w:val="a5"/>
        <w:snapToGrid w:val="0"/>
        <w:spacing w:before="120" w:after="120"/>
        <w:ind w:left="499" w:hanging="482"/>
        <w:rPr>
          <w:color w:val="000000"/>
        </w:rPr>
      </w:pPr>
      <w:r>
        <w:rPr>
          <w:color w:val="000000"/>
        </w:rPr>
        <w:t>六、</w:t>
      </w:r>
      <w:proofErr w:type="gramStart"/>
      <w:r>
        <w:rPr>
          <w:color w:val="000000"/>
        </w:rPr>
        <w:t>第五項書件</w:t>
      </w:r>
      <w:proofErr w:type="gramEnd"/>
      <w:r>
        <w:rPr>
          <w:color w:val="000000"/>
        </w:rPr>
        <w:t>，與前業經核准或申報生效募集及銷售其他境外基金，</w:t>
      </w:r>
      <w:proofErr w:type="gramStart"/>
      <w:r>
        <w:rPr>
          <w:color w:val="000000"/>
        </w:rPr>
        <w:t>所檢具</w:t>
      </w:r>
      <w:proofErr w:type="gramEnd"/>
      <w:r>
        <w:rPr>
          <w:color w:val="000000"/>
        </w:rPr>
        <w:t>之證明文件或契約若未有變更者，得</w:t>
      </w:r>
      <w:proofErr w:type="gramStart"/>
      <w:r>
        <w:rPr>
          <w:color w:val="000000"/>
        </w:rPr>
        <w:t>檢附影本</w:t>
      </w:r>
      <w:proofErr w:type="gramEnd"/>
      <w:r>
        <w:rPr>
          <w:color w:val="000000"/>
        </w:rPr>
        <w:t>。</w:t>
      </w:r>
    </w:p>
    <w:p w14:paraId="237DE6FB" w14:textId="77777777" w:rsidR="009B023F" w:rsidRDefault="0075731A">
      <w:pPr>
        <w:pStyle w:val="a5"/>
        <w:snapToGrid w:val="0"/>
        <w:spacing w:before="120" w:after="120"/>
        <w:ind w:left="499" w:hanging="482"/>
      </w:pPr>
      <w:r>
        <w:rPr>
          <w:color w:val="000000"/>
        </w:rPr>
        <w:lastRenderedPageBreak/>
        <w:t>七、</w:t>
      </w:r>
      <w:proofErr w:type="gramStart"/>
      <w:r>
        <w:rPr>
          <w:color w:val="000000"/>
        </w:rPr>
        <w:t>同一傘</w:t>
      </w:r>
      <w:proofErr w:type="gramEnd"/>
      <w:r>
        <w:rPr>
          <w:color w:val="000000"/>
        </w:rPr>
        <w:t>型基金之部分子基金前業經核准或申報生效募集及銷售，本次</w:t>
      </w:r>
      <w:proofErr w:type="gramStart"/>
      <w:r>
        <w:rPr>
          <w:color w:val="000000"/>
        </w:rPr>
        <w:t>新增該傘型</w:t>
      </w:r>
      <w:proofErr w:type="gramEnd"/>
      <w:r>
        <w:rPr>
          <w:color w:val="000000"/>
        </w:rPr>
        <w:t>基金之其他子基金申報者，下列書件若未有變更，得</w:t>
      </w:r>
      <w:proofErr w:type="gramStart"/>
      <w:r>
        <w:rPr>
          <w:color w:val="000000"/>
        </w:rPr>
        <w:t>檢附影本</w:t>
      </w:r>
      <w:proofErr w:type="gramEnd"/>
      <w:r>
        <w:rPr>
          <w:color w:val="000000"/>
        </w:rPr>
        <w:t>或免</w:t>
      </w:r>
      <w:proofErr w:type="gramStart"/>
      <w:r>
        <w:rPr>
          <w:color w:val="000000"/>
        </w:rPr>
        <w:t>附</w:t>
      </w:r>
      <w:proofErr w:type="gramEnd"/>
      <w:r>
        <w:rPr>
          <w:color w:val="000000"/>
        </w:rPr>
        <w:t>，惟應於備註欄敘明原因：</w:t>
      </w:r>
    </w:p>
    <w:p w14:paraId="3012E70D" w14:textId="77777777" w:rsidR="009B023F" w:rsidRDefault="0075731A">
      <w:pPr>
        <w:pStyle w:val="a5"/>
        <w:snapToGrid w:val="0"/>
        <w:spacing w:before="120" w:after="120"/>
        <w:ind w:left="739" w:hanging="482"/>
        <w:rPr>
          <w:color w:val="000000"/>
        </w:rPr>
      </w:pPr>
      <w:r>
        <w:rPr>
          <w:color w:val="000000"/>
        </w:rPr>
        <w:t>(</w:t>
      </w:r>
      <w:proofErr w:type="gramStart"/>
      <w:r>
        <w:rPr>
          <w:color w:val="000000"/>
        </w:rPr>
        <w:t>一</w:t>
      </w:r>
      <w:proofErr w:type="gramEnd"/>
      <w:r>
        <w:rPr>
          <w:color w:val="000000"/>
        </w:rPr>
        <w:t>)</w:t>
      </w:r>
      <w:r>
        <w:rPr>
          <w:color w:val="000000"/>
        </w:rPr>
        <w:t>得免附之書件：</w:t>
      </w:r>
    </w:p>
    <w:p w14:paraId="6036BC95" w14:textId="77777777" w:rsidR="009B023F" w:rsidRDefault="0075731A">
      <w:pPr>
        <w:pStyle w:val="a5"/>
        <w:snapToGrid w:val="0"/>
        <w:spacing w:before="120" w:after="120"/>
        <w:ind w:left="960" w:hanging="240"/>
        <w:rPr>
          <w:color w:val="000000"/>
        </w:rPr>
      </w:pPr>
      <w:r>
        <w:rPr>
          <w:color w:val="000000"/>
        </w:rPr>
        <w:t>1.</w:t>
      </w:r>
      <w:r>
        <w:rPr>
          <w:color w:val="000000"/>
        </w:rPr>
        <w:t>第二之</w:t>
      </w:r>
      <w:r>
        <w:rPr>
          <w:color w:val="000000"/>
        </w:rPr>
        <w:t>(</w:t>
      </w:r>
      <w:r>
        <w:rPr>
          <w:color w:val="000000"/>
        </w:rPr>
        <w:t>一</w:t>
      </w:r>
      <w:r>
        <w:rPr>
          <w:color w:val="000000"/>
        </w:rPr>
        <w:t>)</w:t>
      </w:r>
      <w:r>
        <w:rPr>
          <w:color w:val="000000"/>
        </w:rPr>
        <w:t>項、第五項、第十八項及第</w:t>
      </w:r>
      <w:proofErr w:type="gramStart"/>
      <w:r>
        <w:rPr>
          <w:color w:val="000000"/>
        </w:rPr>
        <w:t>十九項書件</w:t>
      </w:r>
      <w:proofErr w:type="gramEnd"/>
      <w:r>
        <w:rPr>
          <w:color w:val="000000"/>
        </w:rPr>
        <w:t>。</w:t>
      </w:r>
      <w:r>
        <w:rPr>
          <w:color w:val="000000"/>
        </w:rPr>
        <w:t xml:space="preserve"> </w:t>
      </w:r>
    </w:p>
    <w:p w14:paraId="2EED7852" w14:textId="77777777" w:rsidR="009B023F" w:rsidRDefault="0075731A">
      <w:pPr>
        <w:pStyle w:val="a5"/>
        <w:snapToGrid w:val="0"/>
        <w:spacing w:before="120" w:after="120"/>
        <w:ind w:left="960" w:hanging="240"/>
      </w:pPr>
      <w:r>
        <w:rPr>
          <w:color w:val="000000"/>
        </w:rPr>
        <w:t>2.</w:t>
      </w:r>
      <w:r>
        <w:rPr>
          <w:color w:val="000000"/>
        </w:rPr>
        <w:t>第二之（二）</w:t>
      </w:r>
      <w:proofErr w:type="gramStart"/>
      <w:r>
        <w:rPr>
          <w:color w:val="000000"/>
        </w:rPr>
        <w:t>項書件</w:t>
      </w:r>
      <w:proofErr w:type="gramEnd"/>
      <w:r>
        <w:rPr>
          <w:color w:val="000000"/>
        </w:rPr>
        <w:t>，與最近</w:t>
      </w:r>
      <w:proofErr w:type="gramStart"/>
      <w:r>
        <w:rPr>
          <w:color w:val="000000"/>
        </w:rPr>
        <w:t>一</w:t>
      </w:r>
      <w:proofErr w:type="gramEnd"/>
      <w:r>
        <w:rPr>
          <w:color w:val="000000"/>
        </w:rPr>
        <w:t>年內經核准或申報生效募集及銷售之境外基金，</w:t>
      </w:r>
      <w:proofErr w:type="gramStart"/>
      <w:r>
        <w:rPr>
          <w:color w:val="000000"/>
        </w:rPr>
        <w:t>所檢具</w:t>
      </w:r>
      <w:proofErr w:type="gramEnd"/>
      <w:r>
        <w:rPr>
          <w:color w:val="000000"/>
        </w:rPr>
        <w:t>之財務報告為同期者。</w:t>
      </w:r>
    </w:p>
    <w:p w14:paraId="672DB39C" w14:textId="77777777" w:rsidR="009B023F" w:rsidRDefault="0075731A">
      <w:pPr>
        <w:pStyle w:val="a5"/>
        <w:snapToGrid w:val="0"/>
        <w:spacing w:before="120" w:after="120"/>
        <w:ind w:left="960" w:hanging="240"/>
      </w:pPr>
      <w:r>
        <w:rPr>
          <w:color w:val="000000"/>
        </w:rPr>
        <w:t>3.</w:t>
      </w:r>
      <w:r>
        <w:rPr>
          <w:color w:val="000000"/>
        </w:rPr>
        <w:t>第二十五項、第二十九項及第</w:t>
      </w:r>
      <w:proofErr w:type="gramStart"/>
      <w:r>
        <w:rPr>
          <w:color w:val="000000"/>
        </w:rPr>
        <w:t>三十六項書件</w:t>
      </w:r>
      <w:proofErr w:type="gramEnd"/>
      <w:r>
        <w:rPr>
          <w:color w:val="000000"/>
        </w:rPr>
        <w:t>，惟應於備註欄敘明原因，及加</w:t>
      </w:r>
      <w:proofErr w:type="gramStart"/>
      <w:r>
        <w:rPr>
          <w:color w:val="000000"/>
        </w:rPr>
        <w:t>註</w:t>
      </w:r>
      <w:proofErr w:type="gramEnd"/>
      <w:r>
        <w:rPr>
          <w:color w:val="000000"/>
        </w:rPr>
        <w:t>前次</w:t>
      </w:r>
      <w:proofErr w:type="gramStart"/>
      <w:r>
        <w:rPr>
          <w:color w:val="000000"/>
        </w:rPr>
        <w:t>送件檢附</w:t>
      </w:r>
      <w:proofErr w:type="gramEnd"/>
      <w:r>
        <w:rPr>
          <w:color w:val="000000"/>
        </w:rPr>
        <w:t>相關書件之基金名稱及經核准或申報生效之日期與文號。</w:t>
      </w:r>
    </w:p>
    <w:p w14:paraId="5F504EFF" w14:textId="77777777" w:rsidR="009B023F" w:rsidRDefault="0075731A">
      <w:pPr>
        <w:pStyle w:val="a5"/>
        <w:snapToGrid w:val="0"/>
        <w:spacing w:before="120" w:after="120"/>
        <w:ind w:left="960" w:hanging="240"/>
      </w:pPr>
      <w:r>
        <w:rPr>
          <w:color w:val="000000"/>
        </w:rPr>
        <w:t>4.</w:t>
      </w:r>
      <w:proofErr w:type="gramStart"/>
      <w:r>
        <w:rPr>
          <w:color w:val="000000"/>
        </w:rPr>
        <w:t>第十六項書件</w:t>
      </w:r>
      <w:proofErr w:type="gramEnd"/>
      <w:r>
        <w:rPr>
          <w:color w:val="000000"/>
        </w:rPr>
        <w:t>，與最近</w:t>
      </w:r>
      <w:proofErr w:type="gramStart"/>
      <w:r>
        <w:rPr>
          <w:color w:val="000000"/>
        </w:rPr>
        <w:t>一</w:t>
      </w:r>
      <w:proofErr w:type="gramEnd"/>
      <w:r>
        <w:rPr>
          <w:color w:val="000000"/>
        </w:rPr>
        <w:t>年內經核准或申報生效募集及銷售之境外基金，屬同一境外基金管理機構，</w:t>
      </w:r>
      <w:proofErr w:type="gramStart"/>
      <w:r>
        <w:rPr>
          <w:color w:val="000000"/>
        </w:rPr>
        <w:t>且所檢具</w:t>
      </w:r>
      <w:proofErr w:type="gramEnd"/>
      <w:r>
        <w:rPr>
          <w:color w:val="000000"/>
        </w:rPr>
        <w:t>之財務報告為同期者。</w:t>
      </w:r>
    </w:p>
    <w:p w14:paraId="26F378FC" w14:textId="77777777" w:rsidR="009B023F" w:rsidRDefault="0075731A">
      <w:pPr>
        <w:pStyle w:val="a5"/>
        <w:snapToGrid w:val="0"/>
        <w:spacing w:before="120" w:after="120"/>
        <w:ind w:left="739" w:hanging="482"/>
        <w:rPr>
          <w:color w:val="000000"/>
        </w:rPr>
      </w:pPr>
      <w:r>
        <w:rPr>
          <w:color w:val="000000"/>
        </w:rPr>
        <w:t>(</w:t>
      </w:r>
      <w:r>
        <w:rPr>
          <w:color w:val="000000"/>
        </w:rPr>
        <w:t>二</w:t>
      </w:r>
      <w:r>
        <w:rPr>
          <w:color w:val="000000"/>
        </w:rPr>
        <w:t>)</w:t>
      </w:r>
      <w:r>
        <w:rPr>
          <w:color w:val="000000"/>
        </w:rPr>
        <w:t>得</w:t>
      </w:r>
      <w:proofErr w:type="gramStart"/>
      <w:r>
        <w:rPr>
          <w:color w:val="000000"/>
        </w:rPr>
        <w:t>檢附影本之</w:t>
      </w:r>
      <w:proofErr w:type="gramEnd"/>
      <w:r>
        <w:rPr>
          <w:color w:val="000000"/>
        </w:rPr>
        <w:t>書件：第十四項、第十五項聲明文件若係由同一境外基金管理機構概括就經金管會核准或申報生效之境外基金作聲明者，得</w:t>
      </w:r>
      <w:proofErr w:type="gramStart"/>
      <w:r>
        <w:rPr>
          <w:color w:val="000000"/>
        </w:rPr>
        <w:t>檢附影本</w:t>
      </w:r>
      <w:proofErr w:type="gramEnd"/>
      <w:r>
        <w:rPr>
          <w:color w:val="000000"/>
        </w:rPr>
        <w:t>。</w:t>
      </w:r>
    </w:p>
    <w:p w14:paraId="6575280C" w14:textId="77777777" w:rsidR="009B023F" w:rsidRDefault="0075731A">
      <w:pPr>
        <w:snapToGrid w:val="0"/>
        <w:spacing w:before="120" w:after="120"/>
        <w:ind w:left="499" w:hanging="482"/>
        <w:jc w:val="both"/>
        <w:rPr>
          <w:rFonts w:eastAsia="標楷體"/>
          <w:color w:val="000000"/>
        </w:rPr>
      </w:pPr>
      <w:r>
        <w:rPr>
          <w:rFonts w:eastAsia="標楷體"/>
          <w:color w:val="000000"/>
        </w:rPr>
        <w:t>八、</w:t>
      </w:r>
      <w:proofErr w:type="gramStart"/>
      <w:r>
        <w:rPr>
          <w:rFonts w:eastAsia="標楷體"/>
          <w:color w:val="000000"/>
        </w:rPr>
        <w:t>第二十八項書件</w:t>
      </w:r>
      <w:proofErr w:type="gramEnd"/>
      <w:r>
        <w:rPr>
          <w:rFonts w:eastAsia="標楷體"/>
          <w:color w:val="000000"/>
        </w:rPr>
        <w:t>，</w:t>
      </w:r>
      <w:proofErr w:type="gramStart"/>
      <w:r>
        <w:rPr>
          <w:rFonts w:eastAsia="標楷體"/>
          <w:color w:val="000000"/>
        </w:rPr>
        <w:t>同一傘</w:t>
      </w:r>
      <w:proofErr w:type="gramEnd"/>
      <w:r>
        <w:rPr>
          <w:rFonts w:eastAsia="標楷體"/>
          <w:color w:val="000000"/>
        </w:rPr>
        <w:t>型基金之部分子基金前業經核准或申報生效募集及銷售，本次</w:t>
      </w:r>
      <w:proofErr w:type="gramStart"/>
      <w:r>
        <w:rPr>
          <w:rFonts w:eastAsia="標楷體"/>
          <w:color w:val="000000"/>
        </w:rPr>
        <w:t>新增該傘型</w:t>
      </w:r>
      <w:proofErr w:type="gramEnd"/>
      <w:r>
        <w:rPr>
          <w:rFonts w:eastAsia="標楷體"/>
          <w:color w:val="000000"/>
        </w:rPr>
        <w:t>基金之其他子基金申報者，若未有變更，得僅提供最近一次採用該等機制之情形，惟應於備註欄加</w:t>
      </w:r>
      <w:proofErr w:type="gramStart"/>
      <w:r>
        <w:rPr>
          <w:rFonts w:eastAsia="標楷體"/>
          <w:color w:val="000000"/>
        </w:rPr>
        <w:t>註</w:t>
      </w:r>
      <w:proofErr w:type="gramEnd"/>
      <w:r>
        <w:rPr>
          <w:rFonts w:eastAsia="標楷體"/>
          <w:color w:val="000000"/>
        </w:rPr>
        <w:t>前次</w:t>
      </w:r>
      <w:proofErr w:type="gramStart"/>
      <w:r>
        <w:rPr>
          <w:rFonts w:eastAsia="標楷體"/>
          <w:color w:val="000000"/>
        </w:rPr>
        <w:t>送件檢附</w:t>
      </w:r>
      <w:proofErr w:type="gramEnd"/>
      <w:r>
        <w:rPr>
          <w:rFonts w:eastAsia="標楷體"/>
          <w:color w:val="000000"/>
        </w:rPr>
        <w:t>相關書件之基金名稱及經核准或申報生效之日期與文號。</w:t>
      </w:r>
    </w:p>
    <w:p w14:paraId="5A8E3FA8" w14:textId="77777777" w:rsidR="009B023F" w:rsidRDefault="009B023F">
      <w:pPr>
        <w:pStyle w:val="a5"/>
        <w:snapToGrid w:val="0"/>
        <w:spacing w:before="120" w:after="120"/>
        <w:rPr>
          <w:color w:val="000000"/>
        </w:rPr>
      </w:pPr>
    </w:p>
    <w:sectPr w:rsidR="009B023F">
      <w:headerReference w:type="default" r:id="rId6"/>
      <w:footerReference w:type="default" r:id="rId7"/>
      <w:pgSz w:w="11906" w:h="16838"/>
      <w:pgMar w:top="1134" w:right="816" w:bottom="851" w:left="816" w:header="567"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F6B49" w14:textId="77777777" w:rsidR="0075731A" w:rsidRDefault="0075731A">
      <w:r>
        <w:separator/>
      </w:r>
    </w:p>
  </w:endnote>
  <w:endnote w:type="continuationSeparator" w:id="0">
    <w:p w14:paraId="0E73808F" w14:textId="77777777" w:rsidR="0075731A" w:rsidRDefault="00757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8EB4B" w14:textId="77777777" w:rsidR="0075731A" w:rsidRDefault="0075731A">
    <w:pPr>
      <w:pStyle w:val="a3"/>
      <w:jc w:val="center"/>
    </w:pPr>
    <w:r>
      <w:t>第</w:t>
    </w:r>
    <w:r>
      <w:t xml:space="preserve"> </w:t>
    </w:r>
    <w:r>
      <w:fldChar w:fldCharType="begin"/>
    </w:r>
    <w:r>
      <w:instrText xml:space="preserve"> PAGE </w:instrText>
    </w:r>
    <w:r>
      <w:fldChar w:fldCharType="separate"/>
    </w:r>
    <w:r>
      <w:t>1</w:t>
    </w:r>
    <w:r>
      <w:fldChar w:fldCharType="end"/>
    </w:r>
    <w:r>
      <w:t xml:space="preserve"> </w:t>
    </w:r>
    <w:r>
      <w:t>頁，共</w:t>
    </w:r>
    <w:r>
      <w:t xml:space="preserve"> </w:t>
    </w:r>
    <w:r>
      <w:fldChar w:fldCharType="begin"/>
    </w:r>
    <w:r>
      <w:instrText xml:space="preserve"> NUMPAGES </w:instrText>
    </w:r>
    <w:r>
      <w:fldChar w:fldCharType="separate"/>
    </w:r>
    <w:r>
      <w:t>3</w:t>
    </w:r>
    <w:r>
      <w:fldChar w:fldCharType="end"/>
    </w:r>
    <w:r>
      <w:t xml:space="preserve"> </w:t>
    </w:r>
    <w: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2904F" w14:textId="77777777" w:rsidR="0075731A" w:rsidRDefault="0075731A">
      <w:r>
        <w:rPr>
          <w:color w:val="000000"/>
        </w:rPr>
        <w:separator/>
      </w:r>
    </w:p>
  </w:footnote>
  <w:footnote w:type="continuationSeparator" w:id="0">
    <w:p w14:paraId="33A0DF4A" w14:textId="77777777" w:rsidR="0075731A" w:rsidRDefault="00757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3A760" w14:textId="77777777" w:rsidR="0075731A" w:rsidRDefault="0075731A">
    <w:pPr>
      <w:pStyle w:val="a6"/>
      <w:jc w:val="right"/>
    </w:pPr>
    <w:r>
      <w:rPr>
        <w:rFonts w:eastAsia="標楷體"/>
        <w:color w:val="000000"/>
      </w:rPr>
      <w:t>制修日期：</w:t>
    </w:r>
    <w:r>
      <w:rPr>
        <w:rFonts w:eastAsia="標楷體"/>
        <w:color w:val="000000"/>
      </w:rPr>
      <w:t>115</w:t>
    </w:r>
    <w:r>
      <w:rPr>
        <w:rFonts w:eastAsia="標楷體"/>
        <w:color w:val="000000"/>
      </w:rPr>
      <w:t>年</w:t>
    </w:r>
    <w:r>
      <w:rPr>
        <w:rFonts w:eastAsia="標楷體"/>
        <w:color w:val="000000"/>
      </w:rPr>
      <w:t>6</w:t>
    </w:r>
    <w:r>
      <w:rPr>
        <w:rFonts w:eastAsia="標楷體"/>
        <w:color w:val="000000"/>
      </w:rPr>
      <w:t>月</w:t>
    </w:r>
  </w:p>
  <w:p w14:paraId="1548D716" w14:textId="77777777" w:rsidR="0075731A" w:rsidRDefault="0075731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9B023F"/>
    <w:rsid w:val="004B1902"/>
    <w:rsid w:val="00681474"/>
    <w:rsid w:val="0075731A"/>
    <w:rsid w:val="009B02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227876"/>
  <w15:docId w15:val="{74141567-601F-46DE-9E65-44C5C869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szCs w:val="20"/>
    </w:rPr>
  </w:style>
  <w:style w:type="character" w:styleId="a4">
    <w:name w:val="page number"/>
    <w:basedOn w:val="a0"/>
  </w:style>
  <w:style w:type="paragraph" w:styleId="a5">
    <w:name w:val="Body Text"/>
    <w:basedOn w:val="a"/>
    <w:pPr>
      <w:jc w:val="both"/>
    </w:pPr>
    <w:rPr>
      <w:rFonts w:ascii="標楷體" w:eastAsia="標楷體" w:hAnsi="標楷體"/>
      <w:bCs/>
    </w:rPr>
  </w:style>
  <w:style w:type="paragraph" w:styleId="3">
    <w:name w:val="Body Text Indent 3"/>
    <w:basedOn w:val="a"/>
    <w:pPr>
      <w:spacing w:line="440" w:lineRule="exact"/>
      <w:ind w:left="750" w:hanging="750"/>
      <w:jc w:val="both"/>
    </w:pPr>
    <w:rPr>
      <w:rFonts w:eastAsia="標楷體"/>
    </w:rPr>
  </w:style>
  <w:style w:type="paragraph" w:styleId="a6">
    <w:name w:val="header"/>
    <w:basedOn w:val="a"/>
    <w:pPr>
      <w:tabs>
        <w:tab w:val="center" w:pos="4153"/>
        <w:tab w:val="right" w:pos="8306"/>
      </w:tabs>
      <w:snapToGrid w:val="0"/>
    </w:pPr>
    <w:rPr>
      <w:sz w:val="20"/>
      <w:szCs w:val="20"/>
    </w:rPr>
  </w:style>
  <w:style w:type="character" w:styleId="a7">
    <w:name w:val="annotation reference"/>
    <w:rPr>
      <w:sz w:val="18"/>
      <w:szCs w:val="18"/>
    </w:rPr>
  </w:style>
  <w:style w:type="paragraph" w:styleId="a8">
    <w:name w:val="annotation text"/>
    <w:basedOn w:val="a"/>
  </w:style>
  <w:style w:type="paragraph" w:styleId="a9">
    <w:name w:val="annotation subject"/>
    <w:basedOn w:val="a8"/>
    <w:next w:val="a8"/>
    <w:rPr>
      <w:b/>
      <w:bCs/>
    </w:rPr>
  </w:style>
  <w:style w:type="paragraph" w:styleId="aa">
    <w:name w:val="Balloon Text"/>
    <w:basedOn w:val="a"/>
    <w:rPr>
      <w:rFonts w:ascii="Arial" w:hAnsi="Arial"/>
      <w:sz w:val="18"/>
      <w:szCs w:val="18"/>
    </w:rPr>
  </w:style>
  <w:style w:type="character" w:customStyle="1" w:styleId="ab">
    <w:name w:val="頁尾 字元"/>
  </w:style>
  <w:style w:type="paragraph" w:styleId="ac">
    <w:name w:val="Revision"/>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1431</Words>
  <Characters>8157</Characters>
  <Application>Microsoft Office Word</Application>
  <DocSecurity>0</DocSecurity>
  <Lines>67</Lines>
  <Paragraphs>19</Paragraphs>
  <ScaleCrop>false</ScaleCrop>
  <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余尚恩</dc:creator>
  <dc:description/>
  <cp:lastModifiedBy>余尚恩</cp:lastModifiedBy>
  <cp:revision>2</cp:revision>
  <cp:lastPrinted>2026-06-22T09:03:00Z</cp:lastPrinted>
  <dcterms:created xsi:type="dcterms:W3CDTF">2026-06-29T07:44:00Z</dcterms:created>
  <dcterms:modified xsi:type="dcterms:W3CDTF">2026-06-29T07:44:00Z</dcterms:modified>
</cp:coreProperties>
</file>