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63" w:rsidRPr="007A3D63" w:rsidRDefault="007A3D63" w:rsidP="009B5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細明體" w:eastAsia="細明體" w:hAnsi="細明體" w:cs="細明體"/>
          <w:kern w:val="0"/>
          <w:szCs w:val="24"/>
        </w:rPr>
      </w:pPr>
      <w:r w:rsidRPr="007A3D63">
        <w:rPr>
          <w:rFonts w:ascii="細明體" w:eastAsia="細明體" w:hAnsi="細明體" w:cs="細明體"/>
          <w:kern w:val="0"/>
          <w:szCs w:val="24"/>
        </w:rPr>
        <w:t>鴻海精密工業股份有限公司一百零六年度第一期無擔保普通公司債發行辦法</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7A3D63">
        <w:rPr>
          <w:rFonts w:ascii="細明體" w:eastAsia="細明體" w:hAnsi="細明體" w:cs="細明體"/>
          <w:kern w:val="0"/>
          <w:szCs w:val="24"/>
        </w:rPr>
        <w:t>鴻海精密工業股份有限公司（以下簡稱本公司）</w:t>
      </w:r>
      <w:proofErr w:type="gramStart"/>
      <w:r w:rsidRPr="007A3D63">
        <w:rPr>
          <w:rFonts w:ascii="細明體" w:eastAsia="細明體" w:hAnsi="細明體" w:cs="細明體"/>
          <w:kern w:val="0"/>
          <w:szCs w:val="24"/>
        </w:rPr>
        <w:t>經呈奉</w:t>
      </w:r>
      <w:proofErr w:type="gramEnd"/>
      <w:r w:rsidRPr="007A3D63">
        <w:rPr>
          <w:rFonts w:ascii="細明體" w:eastAsia="細明體" w:hAnsi="細明體" w:cs="細明體"/>
          <w:kern w:val="0"/>
          <w:szCs w:val="24"/>
        </w:rPr>
        <w:t>財團法人中華民國證券櫃檯買賣中心</w:t>
      </w:r>
      <w:proofErr w:type="gramStart"/>
      <w:r w:rsidRPr="007A3D63">
        <w:rPr>
          <w:rFonts w:ascii="細明體" w:eastAsia="細明體" w:hAnsi="細明體" w:cs="細明體"/>
          <w:kern w:val="0"/>
          <w:szCs w:val="24"/>
        </w:rPr>
        <w:t>證櫃債字</w:t>
      </w:r>
      <w:proofErr w:type="gramEnd"/>
      <w:r w:rsidRPr="007A3D63">
        <w:rPr>
          <w:rFonts w:ascii="細明體" w:eastAsia="細明體" w:hAnsi="細明體" w:cs="細明體"/>
          <w:kern w:val="0"/>
          <w:szCs w:val="24"/>
        </w:rPr>
        <w:t>第10600115921號函通知申報生效發行公司債，訂定發行辦法如下：</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一、債券名稱：鴻海精密工業股份有限公司一百零六年度第一期無擔保普通公司債(以下簡稱本公司債)。</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二、發行金額：本公司債發行總額為新台幣玖拾億元整，依票面利率不同分為甲</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、丁</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及戊</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5種。甲</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發行金額為新台幣伍億元整；乙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發行金額為新台幣參拾貳億元整；丙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發行金額為新台幣肆拾億元整；丁</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發行金額為新台幣玖億元整；戊</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發行金額為新台幣肆億元整。</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三、發行期間：甲</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發行期間為二年期，自民國一○六年五月十七日發行至民國一○八年五月十七日到期。乙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發行期間為三年期，自民國一○六年五月十七日發行至民國一○九年五月十七日到期。丙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發行期間為五年期，自民國一○六年五月十七日發行至民國一一一年五月十七日到期。丁</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發行期間為七年期，自民國一○六年五月十七日發行至民國一一三年五月十七日到期。戊</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發行期間為十年期，自民國一○六年五月十七日發行至民國一一六年五月十七日到期。</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四、票面金額：新台幣壹佰萬元整。</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五、發行價格：本公司債於發行日依票面金額十足發行。</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六、票面利率：甲</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為固定年利率0.80%，乙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為固定年利率0.95%，丙</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為固定年利率1.12% ，丁</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為固定年利率1.36%，戊</w:t>
      </w:r>
      <w:proofErr w:type="gramStart"/>
      <w:r w:rsidRPr="007A3D63">
        <w:rPr>
          <w:rFonts w:ascii="細明體" w:eastAsia="細明體" w:hAnsi="細明體" w:cs="細明體"/>
          <w:kern w:val="0"/>
          <w:szCs w:val="24"/>
        </w:rPr>
        <w:t>券</w:t>
      </w:r>
      <w:proofErr w:type="gramEnd"/>
      <w:r w:rsidRPr="007A3D63">
        <w:rPr>
          <w:rFonts w:ascii="細明體" w:eastAsia="細明體" w:hAnsi="細明體" w:cs="細明體"/>
          <w:kern w:val="0"/>
          <w:szCs w:val="24"/>
        </w:rPr>
        <w:t>為固定年利率1.53%。</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七、承銷及配售方式：本公司債委託證券承銷商</w:t>
      </w:r>
      <w:proofErr w:type="gramStart"/>
      <w:r w:rsidRPr="007A3D63">
        <w:rPr>
          <w:rFonts w:ascii="細明體" w:eastAsia="細明體" w:hAnsi="細明體" w:cs="細明體"/>
          <w:kern w:val="0"/>
          <w:szCs w:val="24"/>
        </w:rPr>
        <w:t>採</w:t>
      </w:r>
      <w:proofErr w:type="gramEnd"/>
      <w:r w:rsidRPr="007A3D63">
        <w:rPr>
          <w:rFonts w:ascii="細明體" w:eastAsia="細明體" w:hAnsi="細明體" w:cs="細明體"/>
          <w:kern w:val="0"/>
          <w:szCs w:val="24"/>
        </w:rPr>
        <w:t>洽商銷售方式對外公開承銷。</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八、銷售對象：僅限財團法人中華民國證券櫃檯買賣中心外幣計價國際債券管理規則所定之專業投資人。</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7A3D63">
        <w:rPr>
          <w:rFonts w:ascii="細明體" w:eastAsia="細明體" w:hAnsi="細明體" w:cs="細明體"/>
          <w:kern w:val="0"/>
          <w:szCs w:val="24"/>
        </w:rPr>
        <w:t>九、還本方式：本公司債皆於到期日一次還本。</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十、計、付息方式：本公司債自發行日起依票面利率，每年單利</w:t>
      </w:r>
      <w:proofErr w:type="gramStart"/>
      <w:r w:rsidRPr="007A3D63">
        <w:rPr>
          <w:rFonts w:ascii="細明體" w:eastAsia="細明體" w:hAnsi="細明體" w:cs="細明體"/>
          <w:kern w:val="0"/>
          <w:szCs w:val="24"/>
        </w:rPr>
        <w:t>計息乙次</w:t>
      </w:r>
      <w:proofErr w:type="gramEnd"/>
      <w:r w:rsidRPr="007A3D63">
        <w:rPr>
          <w:rFonts w:ascii="細明體" w:eastAsia="細明體" w:hAnsi="細明體" w:cs="細明體"/>
          <w:kern w:val="0"/>
          <w:szCs w:val="24"/>
        </w:rPr>
        <w:t>，每年付息乙次。以每壹佰萬元為基準計付利息至元為止，元以下四捨五入。本公司債還本付息日如為付款地銀行業停止營業日時，則於停止營業日之次一營業日給付本息，且</w:t>
      </w:r>
      <w:proofErr w:type="gramStart"/>
      <w:r w:rsidRPr="007A3D63">
        <w:rPr>
          <w:rFonts w:ascii="細明體" w:eastAsia="細明體" w:hAnsi="細明體" w:cs="細明體"/>
          <w:kern w:val="0"/>
          <w:szCs w:val="24"/>
        </w:rPr>
        <w:t>不</w:t>
      </w:r>
      <w:proofErr w:type="gramEnd"/>
      <w:r w:rsidRPr="007A3D63">
        <w:rPr>
          <w:rFonts w:ascii="細明體" w:eastAsia="細明體" w:hAnsi="細明體" w:cs="細明體"/>
          <w:kern w:val="0"/>
          <w:szCs w:val="24"/>
        </w:rPr>
        <w:t>另付利息。如逾還本付息日領取本息者，亦</w:t>
      </w:r>
      <w:proofErr w:type="gramStart"/>
      <w:r w:rsidRPr="007A3D63">
        <w:rPr>
          <w:rFonts w:ascii="細明體" w:eastAsia="細明體" w:hAnsi="細明體" w:cs="細明體"/>
          <w:kern w:val="0"/>
          <w:szCs w:val="24"/>
        </w:rPr>
        <w:t>不</w:t>
      </w:r>
      <w:proofErr w:type="gramEnd"/>
      <w:r w:rsidRPr="007A3D63">
        <w:rPr>
          <w:rFonts w:ascii="細明體" w:eastAsia="細明體" w:hAnsi="細明體" w:cs="細明體"/>
          <w:kern w:val="0"/>
          <w:szCs w:val="24"/>
        </w:rPr>
        <w:t>另計付遲延利息。</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十一、債券形式：本公司債為記名式，</w:t>
      </w:r>
      <w:proofErr w:type="gramStart"/>
      <w:r w:rsidRPr="007A3D63">
        <w:rPr>
          <w:rFonts w:ascii="細明體" w:eastAsia="細明體" w:hAnsi="細明體" w:cs="細明體"/>
          <w:kern w:val="0"/>
          <w:szCs w:val="24"/>
        </w:rPr>
        <w:t>採</w:t>
      </w:r>
      <w:proofErr w:type="gramEnd"/>
      <w:r w:rsidRPr="007A3D63">
        <w:rPr>
          <w:rFonts w:ascii="細明體" w:eastAsia="細明體" w:hAnsi="細明體" w:cs="細明體"/>
          <w:kern w:val="0"/>
          <w:szCs w:val="24"/>
        </w:rPr>
        <w:t>無實體發行，由臺灣集中保管結算所股份有限公司(以下簡稱集保結算所)登錄。</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7A3D63">
        <w:rPr>
          <w:rFonts w:ascii="細明體" w:eastAsia="細明體" w:hAnsi="細明體" w:cs="細明體"/>
          <w:kern w:val="0"/>
          <w:szCs w:val="24"/>
        </w:rPr>
        <w:t>十二、擔保方式：本公司債為無擔保普通公司債。</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十三、受託機構：本公司債由永豐商業銀行股份有限公司為各債權人(以下簡稱債權人)之受託人，代表債權人之利益行使查核及監督本公司履行本公司債發行事項之權責，並與本公司訂定受託契約。凡持有本公司債之債權人，不論係於發行時認購或中途受讓者，對於受託契約規定受託人之權利義務及本公司債發行</w:t>
      </w:r>
      <w:proofErr w:type="gramStart"/>
      <w:r w:rsidRPr="007A3D63">
        <w:rPr>
          <w:rFonts w:ascii="細明體" w:eastAsia="細明體" w:hAnsi="細明體" w:cs="細明體"/>
          <w:kern w:val="0"/>
          <w:szCs w:val="24"/>
        </w:rPr>
        <w:t>辦法均予承認</w:t>
      </w:r>
      <w:proofErr w:type="gramEnd"/>
      <w:r w:rsidRPr="007A3D63">
        <w:rPr>
          <w:rFonts w:ascii="細明體" w:eastAsia="細明體" w:hAnsi="細明體" w:cs="細明體"/>
          <w:kern w:val="0"/>
          <w:szCs w:val="24"/>
        </w:rPr>
        <w:t>，並同意授與受託契約有關受託事項之全權代理，</w:t>
      </w:r>
      <w:r w:rsidRPr="007A3D63">
        <w:rPr>
          <w:rFonts w:ascii="細明體" w:eastAsia="細明體" w:hAnsi="細明體" w:cs="細明體"/>
          <w:kern w:val="0"/>
          <w:szCs w:val="24"/>
        </w:rPr>
        <w:lastRenderedPageBreak/>
        <w:t>此授權並不得中途撤銷。至於受託契約內容，債權人得在規定營業時間內隨時至本公司或受託人營業處所查閱。</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十四、還本付息代理機構：本公司債由永豐商業銀行城中分行代理還本付息事宜及製作扣繳憑單，寄發予債權人，並依集保結算所提供之債權人名冊資料，辦理本息款項劃撥作業。</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2" w:left="432" w:hangingChars="168" w:hanging="403"/>
        <w:jc w:val="left"/>
        <w:rPr>
          <w:rFonts w:ascii="細明體" w:eastAsia="細明體" w:hAnsi="細明體" w:cs="細明體"/>
          <w:kern w:val="0"/>
          <w:szCs w:val="24"/>
        </w:rPr>
      </w:pPr>
      <w:r w:rsidRPr="007A3D63">
        <w:rPr>
          <w:rFonts w:ascii="細明體" w:eastAsia="細明體" w:hAnsi="細明體" w:cs="細明體"/>
          <w:kern w:val="0"/>
          <w:szCs w:val="24"/>
        </w:rPr>
        <w:t>十五、通知方式：有關本公司債應通知債權人之事項，由受託人依相關法令規定辦理。</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7A3D63">
        <w:rPr>
          <w:rFonts w:ascii="細明體" w:eastAsia="細明體" w:hAnsi="細明體" w:cs="細明體"/>
          <w:kern w:val="0"/>
          <w:szCs w:val="24"/>
        </w:rPr>
        <w:t>發行人：鴻海精密工業股份有限公司</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7A3D63">
        <w:rPr>
          <w:rFonts w:ascii="細明體" w:eastAsia="細明體" w:hAnsi="細明體" w:cs="細明體"/>
          <w:kern w:val="0"/>
          <w:szCs w:val="24"/>
        </w:rPr>
        <w:t>代表人：郭台銘</w:t>
      </w: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7A3D63" w:rsidRPr="007A3D63" w:rsidRDefault="007A3D63" w:rsidP="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7A3D63">
        <w:rPr>
          <w:rFonts w:ascii="細明體" w:eastAsia="細明體" w:hAnsi="細明體" w:cs="細明體"/>
          <w:kern w:val="0"/>
          <w:szCs w:val="24"/>
        </w:rPr>
        <w:t>中華民國一百零六年四月二十八日</w:t>
      </w:r>
    </w:p>
    <w:p w:rsidR="00263172" w:rsidRPr="007A3D63" w:rsidRDefault="00263172"/>
    <w:sectPr w:rsidR="00263172" w:rsidRPr="007A3D63" w:rsidSect="0026317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A3" w:rsidRDefault="001D44A3" w:rsidP="009B5D97">
      <w:pPr>
        <w:spacing w:line="240" w:lineRule="auto"/>
      </w:pPr>
      <w:r>
        <w:separator/>
      </w:r>
    </w:p>
  </w:endnote>
  <w:endnote w:type="continuationSeparator" w:id="0">
    <w:p w:rsidR="001D44A3" w:rsidRDefault="001D44A3" w:rsidP="009B5D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A3" w:rsidRDefault="001D44A3" w:rsidP="009B5D97">
      <w:pPr>
        <w:spacing w:line="240" w:lineRule="auto"/>
      </w:pPr>
      <w:r>
        <w:separator/>
      </w:r>
    </w:p>
  </w:footnote>
  <w:footnote w:type="continuationSeparator" w:id="0">
    <w:p w:rsidR="001D44A3" w:rsidRDefault="001D44A3" w:rsidP="009B5D9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D63"/>
    <w:rsid w:val="001D44A3"/>
    <w:rsid w:val="00263172"/>
    <w:rsid w:val="00744683"/>
    <w:rsid w:val="0075137A"/>
    <w:rsid w:val="007A3D63"/>
    <w:rsid w:val="009B5D97"/>
    <w:rsid w:val="00B00E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6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A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3D63"/>
    <w:rPr>
      <w:rFonts w:ascii="細明體" w:eastAsia="細明體" w:hAnsi="細明體" w:cs="細明體"/>
      <w:kern w:val="0"/>
      <w:szCs w:val="24"/>
    </w:rPr>
  </w:style>
  <w:style w:type="paragraph" w:styleId="a3">
    <w:name w:val="header"/>
    <w:basedOn w:val="a"/>
    <w:link w:val="a4"/>
    <w:uiPriority w:val="99"/>
    <w:semiHidden/>
    <w:unhideWhenUsed/>
    <w:rsid w:val="009B5D97"/>
    <w:pPr>
      <w:tabs>
        <w:tab w:val="center" w:pos="4153"/>
        <w:tab w:val="right" w:pos="8306"/>
      </w:tabs>
      <w:snapToGrid w:val="0"/>
    </w:pPr>
    <w:rPr>
      <w:sz w:val="20"/>
      <w:szCs w:val="20"/>
    </w:rPr>
  </w:style>
  <w:style w:type="character" w:customStyle="1" w:styleId="a4">
    <w:name w:val="頁首 字元"/>
    <w:basedOn w:val="a0"/>
    <w:link w:val="a3"/>
    <w:uiPriority w:val="99"/>
    <w:semiHidden/>
    <w:rsid w:val="009B5D97"/>
    <w:rPr>
      <w:sz w:val="20"/>
      <w:szCs w:val="20"/>
    </w:rPr>
  </w:style>
  <w:style w:type="paragraph" w:styleId="a5">
    <w:name w:val="footer"/>
    <w:basedOn w:val="a"/>
    <w:link w:val="a6"/>
    <w:uiPriority w:val="99"/>
    <w:semiHidden/>
    <w:unhideWhenUsed/>
    <w:rsid w:val="009B5D97"/>
    <w:pPr>
      <w:tabs>
        <w:tab w:val="center" w:pos="4153"/>
        <w:tab w:val="right" w:pos="8306"/>
      </w:tabs>
      <w:snapToGrid w:val="0"/>
    </w:pPr>
    <w:rPr>
      <w:sz w:val="20"/>
      <w:szCs w:val="20"/>
    </w:rPr>
  </w:style>
  <w:style w:type="character" w:customStyle="1" w:styleId="a6">
    <w:name w:val="頁尾 字元"/>
    <w:basedOn w:val="a0"/>
    <w:link w:val="a5"/>
    <w:uiPriority w:val="99"/>
    <w:semiHidden/>
    <w:rsid w:val="009B5D97"/>
    <w:rPr>
      <w:sz w:val="20"/>
      <w:szCs w:val="20"/>
    </w:rPr>
  </w:style>
</w:styles>
</file>

<file path=word/webSettings.xml><?xml version="1.0" encoding="utf-8"?>
<w:webSettings xmlns:r="http://schemas.openxmlformats.org/officeDocument/2006/relationships" xmlns:w="http://schemas.openxmlformats.org/wordprocessingml/2006/main">
  <w:divs>
    <w:div w:id="1840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2</cp:revision>
  <dcterms:created xsi:type="dcterms:W3CDTF">2017-05-15T05:33:00Z</dcterms:created>
  <dcterms:modified xsi:type="dcterms:W3CDTF">2017-05-17T02:56:00Z</dcterms:modified>
</cp:coreProperties>
</file>