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FF" w:rsidRPr="00DC65FF" w:rsidRDefault="00DC65FF" w:rsidP="00DC6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合作金庫商業銀行股份有限公司</w:t>
      </w:r>
    </w:p>
    <w:p w:rsidR="00DC65FF" w:rsidRPr="00DC65FF" w:rsidRDefault="00DC65FF" w:rsidP="00DC6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ascii="細明體" w:eastAsia="細明體" w:hAnsi="細明體" w:cs="細明體"/>
          <w:kern w:val="0"/>
          <w:szCs w:val="24"/>
        </w:rPr>
      </w:pP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106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年度第1期次順位金融債券發行要點</w:t>
      </w:r>
    </w:p>
    <w:p w:rsidR="00DC65FF" w:rsidRPr="00DC65FF" w:rsidRDefault="00DC65FF" w:rsidP="00DC6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ascii="細明體" w:eastAsia="細明體" w:hAnsi="細明體" w:cs="細明體"/>
          <w:kern w:val="0"/>
          <w:szCs w:val="24"/>
        </w:rPr>
      </w:pPr>
    </w:p>
    <w:p w:rsidR="00DC65FF" w:rsidRPr="00DC65FF" w:rsidRDefault="00DC65FF" w:rsidP="00DC65FF">
      <w:pPr>
        <w:widowControl/>
        <w:spacing w:line="240" w:lineRule="auto"/>
        <w:ind w:left="475" w:hangingChars="198" w:hanging="475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一、</w:t>
      </w:r>
      <w:r w:rsidRPr="00DC65FF">
        <w:rPr>
          <w:rFonts w:ascii="細明體" w:eastAsia="細明體" w:hAnsi="細明體" w:cs="細明體"/>
          <w:kern w:val="0"/>
          <w:szCs w:val="24"/>
        </w:rPr>
        <w:tab/>
        <w:t>債券名稱：合作金庫商業銀行股份有限公司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106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 xml:space="preserve">年度第1期次順位金融債券（以下簡稱本債券）。 </w:t>
      </w:r>
    </w:p>
    <w:p w:rsidR="00DC65FF" w:rsidRPr="00DC65FF" w:rsidRDefault="00DC65FF" w:rsidP="00DC65FF">
      <w:pPr>
        <w:widowControl/>
        <w:spacing w:line="240" w:lineRule="auto"/>
        <w:ind w:left="475" w:hangingChars="198" w:hanging="475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二、</w:t>
      </w:r>
      <w:r w:rsidRPr="00DC65FF">
        <w:rPr>
          <w:rFonts w:ascii="細明體" w:eastAsia="細明體" w:hAnsi="細明體" w:cs="細明體"/>
          <w:kern w:val="0"/>
          <w:szCs w:val="24"/>
        </w:rPr>
        <w:tab/>
        <w:t>發行人信用評等：</w:t>
      </w:r>
      <w:proofErr w:type="spellStart"/>
      <w:r w:rsidRPr="00DC65FF">
        <w:rPr>
          <w:rFonts w:ascii="細明體" w:eastAsia="細明體" w:hAnsi="細明體" w:cs="細明體"/>
          <w:kern w:val="0"/>
          <w:szCs w:val="24"/>
        </w:rPr>
        <w:t>twAA</w:t>
      </w:r>
      <w:proofErr w:type="spellEnd"/>
      <w:r w:rsidRPr="00DC65FF">
        <w:rPr>
          <w:rFonts w:ascii="細明體" w:eastAsia="細明體" w:hAnsi="細明體" w:cs="細明體"/>
          <w:kern w:val="0"/>
          <w:szCs w:val="24"/>
        </w:rPr>
        <w:t>(中華信用評等公司106年2月15日評等)，本債券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不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另委託信用評等機構進行信用評等，投資人應注意本債券風險。</w:t>
      </w:r>
    </w:p>
    <w:p w:rsidR="00DC65FF" w:rsidRPr="00DC65FF" w:rsidRDefault="00DC65FF" w:rsidP="00DC65FF">
      <w:pPr>
        <w:widowControl/>
        <w:spacing w:line="240" w:lineRule="auto"/>
        <w:ind w:left="0" w:firstLine="0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三、</w:t>
      </w:r>
      <w:r w:rsidRPr="00DC65FF">
        <w:rPr>
          <w:rFonts w:ascii="細明體" w:eastAsia="細明體" w:hAnsi="細明體" w:cs="細明體"/>
          <w:kern w:val="0"/>
          <w:szCs w:val="24"/>
        </w:rPr>
        <w:tab/>
        <w:t>銷售對象：限符合「境外結構型商品管理規則」第三條規定之專業投資人。</w:t>
      </w:r>
    </w:p>
    <w:p w:rsidR="00DC65FF" w:rsidRPr="00DC65FF" w:rsidRDefault="00DC65FF" w:rsidP="00DC65FF">
      <w:pPr>
        <w:widowControl/>
        <w:spacing w:line="240" w:lineRule="auto"/>
        <w:ind w:left="475" w:hangingChars="198" w:hanging="475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四、</w:t>
      </w:r>
      <w:r w:rsidRPr="00DC65FF">
        <w:rPr>
          <w:rFonts w:ascii="細明體" w:eastAsia="細明體" w:hAnsi="細明體" w:cs="細明體"/>
          <w:kern w:val="0"/>
          <w:szCs w:val="24"/>
        </w:rPr>
        <w:tab/>
        <w:t>發行總額：本債券發行總額為新臺幣(以下同)貳拾億元整，分為甲、乙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券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，甲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券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陸億元整，乙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券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壹拾肆億元整。</w:t>
      </w:r>
    </w:p>
    <w:p w:rsidR="00DC65FF" w:rsidRPr="00DC65FF" w:rsidRDefault="00DC65FF" w:rsidP="00DC65FF">
      <w:pPr>
        <w:widowControl/>
        <w:spacing w:line="240" w:lineRule="auto"/>
        <w:ind w:left="0" w:firstLine="0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五、</w:t>
      </w:r>
      <w:r w:rsidRPr="00DC65FF">
        <w:rPr>
          <w:rFonts w:ascii="細明體" w:eastAsia="細明體" w:hAnsi="細明體" w:cs="細明體"/>
          <w:kern w:val="0"/>
          <w:szCs w:val="24"/>
        </w:rPr>
        <w:tab/>
        <w:t>票面金額：本債券甲、乙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券均以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新臺幣壹仟萬元為單位，依面額十足發售。</w:t>
      </w:r>
    </w:p>
    <w:p w:rsidR="00DC65FF" w:rsidRPr="00DC65FF" w:rsidRDefault="00DC65FF" w:rsidP="00DC65FF">
      <w:pPr>
        <w:widowControl/>
        <w:spacing w:line="240" w:lineRule="auto"/>
        <w:ind w:left="0" w:firstLine="0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六、</w:t>
      </w:r>
      <w:r w:rsidRPr="00DC65FF">
        <w:rPr>
          <w:rFonts w:ascii="細明體" w:eastAsia="細明體" w:hAnsi="細明體" w:cs="細明體"/>
          <w:kern w:val="0"/>
          <w:szCs w:val="24"/>
        </w:rPr>
        <w:tab/>
        <w:t>發行形式：本債券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採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無實體登記形式發行，並於臺灣集中保管結算所登錄。</w:t>
      </w:r>
    </w:p>
    <w:p w:rsidR="00DC65FF" w:rsidRPr="00DC65FF" w:rsidRDefault="00DC65FF" w:rsidP="00DC65FF">
      <w:pPr>
        <w:widowControl/>
        <w:spacing w:line="240" w:lineRule="auto"/>
        <w:ind w:left="0" w:firstLine="0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七、</w:t>
      </w:r>
      <w:r w:rsidRPr="00DC65FF">
        <w:rPr>
          <w:rFonts w:ascii="細明體" w:eastAsia="細明體" w:hAnsi="細明體" w:cs="細明體"/>
          <w:kern w:val="0"/>
          <w:szCs w:val="24"/>
        </w:rPr>
        <w:tab/>
        <w:t>發行年限：</w:t>
      </w:r>
    </w:p>
    <w:p w:rsidR="00DC65FF" w:rsidRPr="00DC65FF" w:rsidRDefault="00DC65FF" w:rsidP="00DC65FF">
      <w:pPr>
        <w:widowControl/>
        <w:spacing w:line="240" w:lineRule="auto"/>
        <w:ind w:left="0" w:firstLineChars="118" w:firstLine="283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（一）</w:t>
      </w:r>
      <w:r w:rsidRPr="00DC65FF">
        <w:rPr>
          <w:rFonts w:ascii="細明體" w:eastAsia="細明體" w:hAnsi="細明體" w:cs="細明體"/>
          <w:kern w:val="0"/>
          <w:szCs w:val="24"/>
        </w:rPr>
        <w:tab/>
        <w:t>甲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券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：發行期間為7年，自106年9月26日起至113年9月26日止。</w:t>
      </w:r>
    </w:p>
    <w:p w:rsidR="00DC65FF" w:rsidRPr="00DC65FF" w:rsidRDefault="00DC65FF" w:rsidP="00DC65FF">
      <w:pPr>
        <w:widowControl/>
        <w:spacing w:line="240" w:lineRule="auto"/>
        <w:ind w:left="0" w:firstLineChars="118" w:firstLine="283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（二）</w:t>
      </w:r>
      <w:r w:rsidRPr="00DC65FF">
        <w:rPr>
          <w:rFonts w:ascii="細明體" w:eastAsia="細明體" w:hAnsi="細明體" w:cs="細明體"/>
          <w:kern w:val="0"/>
          <w:szCs w:val="24"/>
        </w:rPr>
        <w:tab/>
        <w:t>乙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券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：發行期間為10年，自106年9月26日起至116年9月26日止。</w:t>
      </w:r>
    </w:p>
    <w:p w:rsidR="00DC65FF" w:rsidRPr="00DC65FF" w:rsidRDefault="00DC65FF" w:rsidP="00DC65FF">
      <w:pPr>
        <w:widowControl/>
        <w:spacing w:line="240" w:lineRule="auto"/>
        <w:ind w:left="0" w:firstLine="0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八、</w:t>
      </w:r>
      <w:r w:rsidRPr="00DC65FF">
        <w:rPr>
          <w:rFonts w:ascii="細明體" w:eastAsia="細明體" w:hAnsi="細明體" w:cs="細明體"/>
          <w:kern w:val="0"/>
          <w:szCs w:val="24"/>
        </w:rPr>
        <w:tab/>
        <w:t>票面利率：</w:t>
      </w:r>
    </w:p>
    <w:p w:rsidR="00DC65FF" w:rsidRPr="00DC65FF" w:rsidRDefault="00DC65FF" w:rsidP="00DC65FF">
      <w:pPr>
        <w:widowControl/>
        <w:spacing w:line="240" w:lineRule="auto"/>
        <w:ind w:left="0" w:firstLineChars="118" w:firstLine="283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（一）</w:t>
      </w:r>
      <w:r w:rsidRPr="00DC65FF">
        <w:rPr>
          <w:rFonts w:ascii="細明體" w:eastAsia="細明體" w:hAnsi="細明體" w:cs="細明體"/>
          <w:kern w:val="0"/>
          <w:szCs w:val="24"/>
        </w:rPr>
        <w:tab/>
        <w:t>甲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券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：年利率1.32%固定計息，每年單利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計息乙次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。</w:t>
      </w:r>
    </w:p>
    <w:p w:rsidR="00DC65FF" w:rsidRPr="00DC65FF" w:rsidRDefault="00DC65FF" w:rsidP="00DC65FF">
      <w:pPr>
        <w:widowControl/>
        <w:spacing w:line="240" w:lineRule="auto"/>
        <w:ind w:left="0" w:firstLineChars="118" w:firstLine="283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（二）</w:t>
      </w:r>
      <w:r w:rsidRPr="00DC65FF">
        <w:rPr>
          <w:rFonts w:ascii="細明體" w:eastAsia="細明體" w:hAnsi="細明體" w:cs="細明體"/>
          <w:kern w:val="0"/>
          <w:szCs w:val="24"/>
        </w:rPr>
        <w:tab/>
        <w:t>乙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券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：年利率1.56%固定計息，每年單利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計息乙次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。</w:t>
      </w:r>
    </w:p>
    <w:p w:rsidR="00DC65FF" w:rsidRPr="00DC65FF" w:rsidRDefault="00DC65FF" w:rsidP="00DC65FF">
      <w:pPr>
        <w:widowControl/>
        <w:spacing w:line="240" w:lineRule="auto"/>
        <w:ind w:left="475" w:hangingChars="198" w:hanging="475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九、</w:t>
      </w:r>
      <w:r w:rsidRPr="00DC65FF">
        <w:rPr>
          <w:rFonts w:ascii="細明體" w:eastAsia="細明體" w:hAnsi="細明體" w:cs="細明體"/>
          <w:kern w:val="0"/>
          <w:szCs w:val="24"/>
        </w:rPr>
        <w:tab/>
        <w:t>還本付息方式：本債券甲、乙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券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均自發行日起每年付息一次，到期一次還本。利息依票面利率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採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實際天數單利計息（實際天數/實際天數），金額以每單位債券面額計算至元為止，元以下四捨五入，逾還本付息日領取本息者，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不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另計付自還本付息日起至領取日止之利息。還本付息日如為付款地銀行業停止營業日時，則於停止營業日之次營業日給付本息，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不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另計付利息。</w:t>
      </w:r>
    </w:p>
    <w:p w:rsidR="00DC65FF" w:rsidRPr="00DC65FF" w:rsidRDefault="00DC65FF" w:rsidP="00DC65FF">
      <w:pPr>
        <w:widowControl/>
        <w:spacing w:line="240" w:lineRule="auto"/>
        <w:ind w:left="475" w:hangingChars="198" w:hanging="475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十、</w:t>
      </w:r>
      <w:r w:rsidRPr="00DC65FF">
        <w:rPr>
          <w:rFonts w:ascii="細明體" w:eastAsia="細明體" w:hAnsi="細明體" w:cs="細明體"/>
          <w:kern w:val="0"/>
          <w:szCs w:val="24"/>
        </w:rPr>
        <w:tab/>
        <w:t>還本付息作業：本債券由本行營業部辦理還本付息；並以臺灣集中保管結算所股份有限公司提供之所有人名冊為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準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。</w:t>
      </w:r>
    </w:p>
    <w:p w:rsidR="00DC65FF" w:rsidRPr="00DC65FF" w:rsidRDefault="00DC65FF" w:rsidP="00DC65FF">
      <w:pPr>
        <w:widowControl/>
        <w:spacing w:line="240" w:lineRule="auto"/>
        <w:ind w:left="475" w:hangingChars="198" w:hanging="475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十一、</w:t>
      </w:r>
      <w:r w:rsidRPr="00DC65FF">
        <w:rPr>
          <w:rFonts w:ascii="細明體" w:eastAsia="細明體" w:hAnsi="細明體" w:cs="細明體"/>
          <w:kern w:val="0"/>
          <w:szCs w:val="24"/>
        </w:rPr>
        <w:tab/>
        <w:t>債券持有人或債權人與本行間權利義務關係：</w:t>
      </w:r>
    </w:p>
    <w:p w:rsidR="00DC65FF" w:rsidRPr="00DC65FF" w:rsidRDefault="00DC65FF" w:rsidP="00DC65FF">
      <w:pPr>
        <w:widowControl/>
        <w:spacing w:line="240" w:lineRule="auto"/>
        <w:ind w:left="0" w:firstLineChars="118" w:firstLine="283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（一）</w:t>
      </w:r>
      <w:r w:rsidRPr="00DC65FF">
        <w:rPr>
          <w:rFonts w:ascii="細明體" w:eastAsia="細明體" w:hAnsi="細明體" w:cs="細明體"/>
          <w:kern w:val="0"/>
          <w:szCs w:val="24"/>
        </w:rPr>
        <w:tab/>
      </w:r>
      <w:r w:rsidRPr="00DC65FF">
        <w:rPr>
          <w:rFonts w:ascii="細明體" w:eastAsia="細明體" w:hAnsi="細明體" w:cs="細明體"/>
          <w:kern w:val="0"/>
          <w:szCs w:val="24"/>
        </w:rPr>
        <w:tab/>
        <w:t>本債券係無擔保債券。</w:t>
      </w:r>
    </w:p>
    <w:p w:rsidR="00DC65FF" w:rsidRPr="00DC65FF" w:rsidRDefault="00DC65FF" w:rsidP="00DC65FF">
      <w:pPr>
        <w:widowControl/>
        <w:spacing w:line="240" w:lineRule="auto"/>
        <w:ind w:leftChars="119" w:left="1066" w:hangingChars="325" w:hanging="780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（二）</w:t>
      </w:r>
      <w:r w:rsidRPr="00DC65FF">
        <w:rPr>
          <w:rFonts w:ascii="細明體" w:eastAsia="細明體" w:hAnsi="細明體" w:cs="細明體"/>
          <w:kern w:val="0"/>
          <w:szCs w:val="24"/>
        </w:rPr>
        <w:tab/>
      </w:r>
      <w:r w:rsidRPr="00DC65FF">
        <w:rPr>
          <w:rFonts w:ascii="細明體" w:eastAsia="細明體" w:hAnsi="細明體" w:cs="細明體"/>
          <w:kern w:val="0"/>
          <w:szCs w:val="24"/>
        </w:rPr>
        <w:tab/>
        <w:t>本債券非存款，不受中央存款保險公司存款保險之保障，受償順位次於一般債權人，僅優於本行股東之剩餘財產分派權。但本行如發生經主管機關依法派員接管、勒令停業清理、清算時，本債券持有人之清償順位與普通股股東相同。</w:t>
      </w:r>
    </w:p>
    <w:p w:rsidR="00DC65FF" w:rsidRPr="00DC65FF" w:rsidRDefault="00DC65FF" w:rsidP="00DC65FF">
      <w:pPr>
        <w:widowControl/>
        <w:spacing w:line="240" w:lineRule="auto"/>
        <w:ind w:leftChars="119" w:left="1066" w:hangingChars="325" w:hanging="780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（三）</w:t>
      </w:r>
      <w:r w:rsidRPr="00DC65FF">
        <w:rPr>
          <w:rFonts w:ascii="細明體" w:eastAsia="細明體" w:hAnsi="細明體" w:cs="細明體"/>
          <w:kern w:val="0"/>
          <w:szCs w:val="24"/>
        </w:rPr>
        <w:tab/>
      </w:r>
      <w:r w:rsidRPr="00DC65FF">
        <w:rPr>
          <w:rFonts w:ascii="細明體" w:eastAsia="細明體" w:hAnsi="細明體" w:cs="細明體"/>
          <w:kern w:val="0"/>
          <w:szCs w:val="24"/>
        </w:rPr>
        <w:tab/>
        <w:t>本行或所屬關係企業未提供保證、擔保品或其他安排，以增進本債券持有人之受償順位。</w:t>
      </w:r>
    </w:p>
    <w:p w:rsidR="00DC65FF" w:rsidRPr="00DC65FF" w:rsidRDefault="00DC65FF" w:rsidP="00DC65FF">
      <w:pPr>
        <w:widowControl/>
        <w:spacing w:line="240" w:lineRule="auto"/>
        <w:ind w:leftChars="119" w:left="1066" w:hangingChars="325" w:hanging="780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（四）</w:t>
      </w:r>
      <w:r w:rsidRPr="00DC65FF">
        <w:rPr>
          <w:rFonts w:ascii="細明體" w:eastAsia="細明體" w:hAnsi="細明體" w:cs="細明體"/>
          <w:kern w:val="0"/>
          <w:szCs w:val="24"/>
        </w:rPr>
        <w:tab/>
        <w:t>除本行清算或清理依法所為之分配外，本債券之持有人或債權人不得要求提前償付未到期之本息。</w:t>
      </w:r>
      <w:r w:rsidRPr="00DC65FF">
        <w:rPr>
          <w:rFonts w:ascii="細明體" w:eastAsia="細明體" w:hAnsi="細明體" w:cs="細明體"/>
          <w:kern w:val="0"/>
          <w:szCs w:val="24"/>
        </w:rPr>
        <w:tab/>
      </w:r>
      <w:r w:rsidRPr="00DC65FF">
        <w:rPr>
          <w:rFonts w:ascii="細明體" w:eastAsia="細明體" w:hAnsi="細明體" w:cs="細明體"/>
          <w:kern w:val="0"/>
          <w:szCs w:val="24"/>
        </w:rPr>
        <w:tab/>
      </w:r>
    </w:p>
    <w:p w:rsidR="00DC65FF" w:rsidRPr="00DC65FF" w:rsidRDefault="00DC65FF" w:rsidP="00DC65FF">
      <w:pPr>
        <w:widowControl/>
        <w:spacing w:line="240" w:lineRule="auto"/>
        <w:ind w:leftChars="119" w:left="1066" w:hangingChars="325" w:hanging="780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（五）</w:t>
      </w:r>
      <w:r w:rsidRPr="00DC65FF">
        <w:rPr>
          <w:rFonts w:ascii="細明體" w:eastAsia="細明體" w:hAnsi="細明體" w:cs="細明體"/>
          <w:kern w:val="0"/>
          <w:szCs w:val="24"/>
        </w:rPr>
        <w:tab/>
      </w:r>
      <w:r w:rsidRPr="00DC65FF">
        <w:rPr>
          <w:rFonts w:ascii="細明體" w:eastAsia="細明體" w:hAnsi="細明體" w:cs="細明體"/>
          <w:kern w:val="0"/>
          <w:szCs w:val="24"/>
        </w:rPr>
        <w:tab/>
        <w:t>本債券不得中途解約，得自由買賣、轉讓、質押及提供擔保，相關作業依臺灣集中保管結算所規定辦理。</w:t>
      </w:r>
    </w:p>
    <w:p w:rsidR="00DC65FF" w:rsidRPr="00DC65FF" w:rsidRDefault="00DC65FF" w:rsidP="00DC65FF">
      <w:pPr>
        <w:widowControl/>
        <w:spacing w:line="240" w:lineRule="auto"/>
        <w:ind w:leftChars="119" w:left="1066" w:hangingChars="325" w:hanging="780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lastRenderedPageBreak/>
        <w:t>（六）</w:t>
      </w:r>
      <w:r w:rsidRPr="00DC65FF">
        <w:rPr>
          <w:rFonts w:ascii="細明體" w:eastAsia="細明體" w:hAnsi="細明體" w:cs="細明體"/>
          <w:kern w:val="0"/>
          <w:szCs w:val="24"/>
        </w:rPr>
        <w:tab/>
      </w:r>
      <w:r w:rsidRPr="00DC65FF">
        <w:rPr>
          <w:rFonts w:ascii="細明體" w:eastAsia="細明體" w:hAnsi="細明體" w:cs="細明體"/>
          <w:kern w:val="0"/>
          <w:szCs w:val="24"/>
        </w:rPr>
        <w:tab/>
        <w:t>本債券之時效及遺失、被竊、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滅失後之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處理，悉依中華民國民法或發行時適用之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準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據法有關規定辦理。</w:t>
      </w:r>
    </w:p>
    <w:p w:rsidR="00DC65FF" w:rsidRPr="00DC65FF" w:rsidRDefault="00DC65FF" w:rsidP="00DC65FF">
      <w:pPr>
        <w:widowControl/>
        <w:spacing w:line="240" w:lineRule="auto"/>
        <w:ind w:leftChars="119" w:left="1066" w:hangingChars="325" w:hanging="780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（七）</w:t>
      </w:r>
      <w:r w:rsidRPr="00DC65FF">
        <w:rPr>
          <w:rFonts w:ascii="細明體" w:eastAsia="細明體" w:hAnsi="細明體" w:cs="細明體"/>
          <w:kern w:val="0"/>
          <w:szCs w:val="24"/>
        </w:rPr>
        <w:tab/>
      </w:r>
      <w:r w:rsidRPr="00DC65FF">
        <w:rPr>
          <w:rFonts w:ascii="細明體" w:eastAsia="細明體" w:hAnsi="細明體" w:cs="細明體"/>
          <w:kern w:val="0"/>
          <w:szCs w:val="24"/>
        </w:rPr>
        <w:tab/>
        <w:t>本行如進行清算程序或宣告破產，自清算程序開始日或宣告破產之日起，債券停止計息，且本息視為已到期。</w:t>
      </w:r>
    </w:p>
    <w:p w:rsidR="00DC65FF" w:rsidRPr="00DC65FF" w:rsidRDefault="00DC65FF" w:rsidP="00DC65FF">
      <w:pPr>
        <w:widowControl/>
        <w:spacing w:line="240" w:lineRule="auto"/>
        <w:ind w:leftChars="119" w:left="1066" w:hangingChars="325" w:hanging="780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（八）</w:t>
      </w:r>
      <w:r w:rsidRPr="00DC65FF">
        <w:rPr>
          <w:rFonts w:ascii="細明體" w:eastAsia="細明體" w:hAnsi="細明體" w:cs="細明體"/>
          <w:kern w:val="0"/>
          <w:szCs w:val="24"/>
        </w:rPr>
        <w:tab/>
      </w:r>
      <w:r w:rsidRPr="00DC65FF">
        <w:rPr>
          <w:rFonts w:ascii="細明體" w:eastAsia="細明體" w:hAnsi="細明體" w:cs="細明體"/>
          <w:kern w:val="0"/>
          <w:szCs w:val="24"/>
        </w:rPr>
        <w:tab/>
        <w:t>本債券持有人於到期（贖回）日前不得行使抵銷權。</w:t>
      </w:r>
    </w:p>
    <w:p w:rsidR="00DC65FF" w:rsidRPr="00DC65FF" w:rsidRDefault="00DC65FF" w:rsidP="00DC65FF">
      <w:pPr>
        <w:widowControl/>
        <w:spacing w:line="240" w:lineRule="auto"/>
        <w:ind w:leftChars="-5" w:left="742" w:hangingChars="314" w:hanging="754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十二、</w:t>
      </w:r>
      <w:r w:rsidRPr="00DC65FF">
        <w:rPr>
          <w:rFonts w:ascii="細明體" w:eastAsia="細明體" w:hAnsi="細明體" w:cs="細明體"/>
          <w:kern w:val="0"/>
          <w:szCs w:val="24"/>
        </w:rPr>
        <w:tab/>
      </w:r>
      <w:r w:rsidRPr="00DC65FF">
        <w:rPr>
          <w:rFonts w:ascii="細明體" w:eastAsia="細明體" w:hAnsi="細明體" w:cs="細明體"/>
          <w:kern w:val="0"/>
          <w:szCs w:val="24"/>
        </w:rPr>
        <w:tab/>
        <w:t>通知方式：有關本債券應通知債券持有人之事項，得經由臺灣證券交易所公開資訊觀測站以公告方式為之。</w:t>
      </w:r>
    </w:p>
    <w:p w:rsidR="00DC65FF" w:rsidRPr="00DC65FF" w:rsidRDefault="00DC65FF" w:rsidP="00DC65FF">
      <w:pPr>
        <w:widowControl/>
        <w:spacing w:line="240" w:lineRule="auto"/>
        <w:ind w:leftChars="-5" w:left="742" w:hangingChars="314" w:hanging="754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十三、</w:t>
      </w:r>
      <w:r w:rsidRPr="00DC65FF">
        <w:rPr>
          <w:rFonts w:ascii="細明體" w:eastAsia="細明體" w:hAnsi="細明體" w:cs="細明體"/>
          <w:kern w:val="0"/>
          <w:szCs w:val="24"/>
        </w:rPr>
        <w:tab/>
      </w:r>
      <w:r w:rsidRPr="00DC65FF">
        <w:rPr>
          <w:rFonts w:ascii="細明體" w:eastAsia="細明體" w:hAnsi="細明體" w:cs="細明體"/>
          <w:kern w:val="0"/>
          <w:szCs w:val="24"/>
        </w:rPr>
        <w:tab/>
        <w:t>本債券辦理繼承/贈與、還本付息或分割/重組及其他帳簿劃撥等相關作業，悉依臺灣集中保管結算所及相關規定辦理，相關費用由申請人自行負擔。</w:t>
      </w:r>
    </w:p>
    <w:p w:rsidR="00DC65FF" w:rsidRPr="00DC65FF" w:rsidRDefault="00DC65FF" w:rsidP="00DC65FF">
      <w:pPr>
        <w:widowControl/>
        <w:spacing w:line="240" w:lineRule="auto"/>
        <w:ind w:leftChars="-5" w:left="742" w:hangingChars="314" w:hanging="754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十四、</w:t>
      </w:r>
      <w:r w:rsidRPr="00DC65FF">
        <w:rPr>
          <w:rFonts w:ascii="細明體" w:eastAsia="細明體" w:hAnsi="細明體" w:cs="細明體"/>
          <w:kern w:val="0"/>
          <w:szCs w:val="24"/>
        </w:rPr>
        <w:tab/>
      </w:r>
      <w:r w:rsidRPr="00DC65FF">
        <w:rPr>
          <w:rFonts w:ascii="細明體" w:eastAsia="細明體" w:hAnsi="細明體" w:cs="細明體"/>
          <w:kern w:val="0"/>
          <w:szCs w:val="24"/>
        </w:rPr>
        <w:tab/>
        <w:t>本債券本金及利息，自開始付款之日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起未兌領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者，本金逾15年、利息逾5年均不再兌付。</w:t>
      </w:r>
    </w:p>
    <w:p w:rsidR="00DC65FF" w:rsidRPr="00DC65FF" w:rsidRDefault="00DC65FF" w:rsidP="00DC65FF">
      <w:pPr>
        <w:widowControl/>
        <w:spacing w:line="240" w:lineRule="auto"/>
        <w:ind w:leftChars="-5" w:left="742" w:hangingChars="314" w:hanging="754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十五、</w:t>
      </w:r>
      <w:r w:rsidRPr="00DC65FF">
        <w:rPr>
          <w:rFonts w:ascii="細明體" w:eastAsia="細明體" w:hAnsi="細明體" w:cs="細明體"/>
          <w:kern w:val="0"/>
          <w:szCs w:val="24"/>
        </w:rPr>
        <w:tab/>
      </w:r>
      <w:r w:rsidRPr="00DC65FF">
        <w:rPr>
          <w:rFonts w:ascii="細明體" w:eastAsia="細明體" w:hAnsi="細明體" w:cs="細明體"/>
          <w:kern w:val="0"/>
          <w:szCs w:val="24"/>
        </w:rPr>
        <w:tab/>
        <w:t>本債券於核付債券利息時，依稅法規定代為扣繳所得稅、中央健康保險局補充保險費（如適用）及其他依法應扣繳或代扣之費用。</w:t>
      </w:r>
    </w:p>
    <w:p w:rsidR="00DC65FF" w:rsidRPr="00DC65FF" w:rsidRDefault="00DC65FF" w:rsidP="00DC65FF">
      <w:pPr>
        <w:widowControl/>
        <w:spacing w:line="240" w:lineRule="auto"/>
        <w:ind w:leftChars="-5" w:left="742" w:hangingChars="314" w:hanging="754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十六、</w:t>
      </w:r>
      <w:r w:rsidRPr="00DC65FF">
        <w:rPr>
          <w:rFonts w:ascii="細明體" w:eastAsia="細明體" w:hAnsi="細明體" w:cs="細明體"/>
          <w:kern w:val="0"/>
          <w:szCs w:val="24"/>
        </w:rPr>
        <w:tab/>
      </w:r>
      <w:r w:rsidRPr="00DC65FF">
        <w:rPr>
          <w:rFonts w:ascii="細明體" w:eastAsia="細明體" w:hAnsi="細明體" w:cs="細明體"/>
          <w:kern w:val="0"/>
          <w:szCs w:val="24"/>
        </w:rPr>
        <w:tab/>
        <w:t>本發行要點未盡事宜，悉依「銀行發行金融債券辦法」及其他主管機關相關規定辦理。</w:t>
      </w:r>
    </w:p>
    <w:p w:rsidR="00DC65FF" w:rsidRPr="00DC65FF" w:rsidRDefault="00DC65FF" w:rsidP="00DC65FF">
      <w:pPr>
        <w:widowControl/>
        <w:spacing w:line="240" w:lineRule="auto"/>
        <w:ind w:leftChars="-5" w:left="742" w:hangingChars="314" w:hanging="754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十七、</w:t>
      </w:r>
      <w:r w:rsidRPr="00DC65FF">
        <w:rPr>
          <w:rFonts w:ascii="細明體" w:eastAsia="細明體" w:hAnsi="細明體" w:cs="細明體"/>
          <w:kern w:val="0"/>
          <w:szCs w:val="24"/>
        </w:rPr>
        <w:tab/>
        <w:t>本債券奉金融監督管理委員會中華民國106年5月18日金</w:t>
      </w:r>
      <w:proofErr w:type="gramStart"/>
      <w:r w:rsidRPr="00DC65FF">
        <w:rPr>
          <w:rFonts w:ascii="細明體" w:eastAsia="細明體" w:hAnsi="細明體" w:cs="細明體"/>
          <w:kern w:val="0"/>
          <w:szCs w:val="24"/>
        </w:rPr>
        <w:t>管銀控字</w:t>
      </w:r>
      <w:proofErr w:type="gramEnd"/>
      <w:r w:rsidRPr="00DC65FF">
        <w:rPr>
          <w:rFonts w:ascii="細明體" w:eastAsia="細明體" w:hAnsi="細明體" w:cs="細明體"/>
          <w:kern w:val="0"/>
          <w:szCs w:val="24"/>
        </w:rPr>
        <w:t>第10600114270號函核准辦理。</w:t>
      </w:r>
    </w:p>
    <w:p w:rsidR="00DC65FF" w:rsidRPr="00DC65FF" w:rsidRDefault="00DC65FF" w:rsidP="00DC6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ascii="細明體" w:eastAsia="細明體" w:hAnsi="細明體" w:cs="細明體"/>
          <w:kern w:val="0"/>
          <w:szCs w:val="24"/>
        </w:rPr>
      </w:pPr>
    </w:p>
    <w:p w:rsidR="00DC65FF" w:rsidRPr="00DC65FF" w:rsidRDefault="00DC65FF" w:rsidP="00DC6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ascii="細明體" w:eastAsia="細明體" w:hAnsi="細明體" w:cs="細明體"/>
          <w:kern w:val="0"/>
          <w:szCs w:val="24"/>
        </w:rPr>
      </w:pPr>
    </w:p>
    <w:p w:rsidR="00DC65FF" w:rsidRPr="00DC65FF" w:rsidRDefault="00DC65FF" w:rsidP="00DC6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ascii="細明體" w:eastAsia="細明體" w:hAnsi="細明體" w:cs="細明體"/>
          <w:kern w:val="0"/>
          <w:szCs w:val="24"/>
        </w:rPr>
      </w:pPr>
    </w:p>
    <w:p w:rsidR="00DC65FF" w:rsidRPr="00DC65FF" w:rsidRDefault="00DC65FF" w:rsidP="00DC6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ascii="細明體" w:eastAsia="細明體" w:hAnsi="細明體" w:cs="細明體"/>
          <w:kern w:val="0"/>
          <w:szCs w:val="24"/>
        </w:rPr>
      </w:pPr>
      <w:r w:rsidRPr="00DC65FF">
        <w:rPr>
          <w:rFonts w:ascii="細明體" w:eastAsia="細明體" w:hAnsi="細明體" w:cs="細明體"/>
          <w:kern w:val="0"/>
          <w:szCs w:val="24"/>
        </w:rPr>
        <w:t>中華民國106年9月26日</w:t>
      </w:r>
    </w:p>
    <w:p w:rsidR="00263172" w:rsidRDefault="00263172"/>
    <w:sectPr w:rsidR="00263172" w:rsidSect="00263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65FF"/>
    <w:rsid w:val="00263172"/>
    <w:rsid w:val="00744683"/>
    <w:rsid w:val="00DC65FF"/>
    <w:rsid w:val="00E6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ind w:left="6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65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C65F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u793206</dc:creator>
  <cp:lastModifiedBy>u793206</cp:lastModifiedBy>
  <cp:revision>1</cp:revision>
  <dcterms:created xsi:type="dcterms:W3CDTF">2017-09-20T04:34:00Z</dcterms:created>
  <dcterms:modified xsi:type="dcterms:W3CDTF">2017-09-20T04:37:00Z</dcterms:modified>
</cp:coreProperties>
</file>