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3" w:rsidRPr="00F11284" w:rsidRDefault="00C10E18" w:rsidP="00F11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 w:val="28"/>
          <w:szCs w:val="28"/>
        </w:rPr>
      </w:pPr>
      <w:r w:rsidRPr="00F11284">
        <w:rPr>
          <w:rFonts w:ascii="標楷體" w:eastAsia="標楷體" w:hAnsi="標楷體" w:cs="細明體" w:hint="eastAsia"/>
          <w:kern w:val="0"/>
          <w:sz w:val="28"/>
          <w:szCs w:val="28"/>
        </w:rPr>
        <w:t>東訊</w:t>
      </w:r>
      <w:r w:rsidR="00CC177F" w:rsidRPr="00F11284">
        <w:rPr>
          <w:rFonts w:ascii="標楷體" w:eastAsia="標楷體" w:hAnsi="標楷體" w:cs="細明體"/>
          <w:kern w:val="0"/>
          <w:sz w:val="28"/>
          <w:szCs w:val="28"/>
        </w:rPr>
        <w:t>股份有限公司</w:t>
      </w:r>
    </w:p>
    <w:p w:rsidR="00CC177F" w:rsidRPr="00000973" w:rsidRDefault="00CC177F" w:rsidP="00F11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center"/>
        <w:rPr>
          <w:rFonts w:ascii="標楷體" w:eastAsia="標楷體" w:hAnsi="標楷體" w:cs="細明體"/>
          <w:kern w:val="0"/>
          <w:szCs w:val="24"/>
        </w:rPr>
      </w:pPr>
      <w:r w:rsidRPr="00F11284">
        <w:rPr>
          <w:rFonts w:ascii="標楷體" w:eastAsia="標楷體" w:hAnsi="標楷體" w:cs="細明體"/>
          <w:kern w:val="0"/>
          <w:sz w:val="28"/>
          <w:szCs w:val="28"/>
        </w:rPr>
        <w:t>一</w:t>
      </w:r>
      <w:r w:rsidR="000F484C">
        <w:rPr>
          <w:rFonts w:ascii="標楷體" w:eastAsia="標楷體" w:hAnsi="標楷體" w:cs="細明體" w:hint="eastAsia"/>
          <w:kern w:val="0"/>
          <w:sz w:val="32"/>
          <w:szCs w:val="28"/>
        </w:rPr>
        <w:t>百零</w:t>
      </w:r>
      <w:bookmarkStart w:id="0" w:name="_GoBack"/>
      <w:bookmarkEnd w:id="0"/>
      <w:r w:rsidR="00C10E18" w:rsidRPr="00F11284">
        <w:rPr>
          <w:rFonts w:ascii="標楷體" w:eastAsia="標楷體" w:hAnsi="標楷體" w:cs="細明體"/>
          <w:kern w:val="0"/>
          <w:sz w:val="28"/>
          <w:szCs w:val="28"/>
        </w:rPr>
        <w:t>六年度第</w:t>
      </w:r>
      <w:r w:rsidR="00C10E18" w:rsidRPr="00F11284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Start"/>
      <w:r w:rsidRPr="00F11284">
        <w:rPr>
          <w:rFonts w:ascii="標楷體" w:eastAsia="標楷體" w:hAnsi="標楷體" w:cs="細明體"/>
          <w:kern w:val="0"/>
          <w:sz w:val="28"/>
          <w:szCs w:val="28"/>
        </w:rPr>
        <w:t>期私募無</w:t>
      </w:r>
      <w:proofErr w:type="gramEnd"/>
      <w:r w:rsidRPr="00F11284">
        <w:rPr>
          <w:rFonts w:ascii="標楷體" w:eastAsia="標楷體" w:hAnsi="標楷體" w:cs="細明體"/>
          <w:kern w:val="0"/>
          <w:sz w:val="28"/>
          <w:szCs w:val="28"/>
        </w:rPr>
        <w:t>擔保普通公司債發行辦法</w:t>
      </w: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FC216C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債券名稱：</w:t>
      </w:r>
      <w:r w:rsidR="00C10E18" w:rsidRPr="00000973">
        <w:rPr>
          <w:rFonts w:ascii="標楷體" w:eastAsia="標楷體" w:hAnsi="標楷體" w:cs="細明體" w:hint="eastAsia"/>
          <w:kern w:val="0"/>
          <w:szCs w:val="24"/>
        </w:rPr>
        <w:t>東訊</w:t>
      </w:r>
      <w:r w:rsidRPr="00000973">
        <w:rPr>
          <w:rFonts w:ascii="標楷體" w:eastAsia="標楷體" w:hAnsi="標楷體" w:cs="細明體"/>
          <w:kern w:val="0"/>
          <w:szCs w:val="24"/>
        </w:rPr>
        <w:t>股份有限公司</w:t>
      </w:r>
      <w:r w:rsidR="00383A67">
        <w:rPr>
          <w:rFonts w:ascii="標楷體" w:eastAsia="標楷體" w:hAnsi="標楷體" w:cs="細明體" w:hint="eastAsia"/>
          <w:kern w:val="0"/>
          <w:szCs w:val="24"/>
        </w:rPr>
        <w:t>(</w:t>
      </w:r>
      <w:r w:rsidR="00383A67" w:rsidRPr="00383A67">
        <w:rPr>
          <w:rFonts w:ascii="標楷體" w:eastAsia="標楷體" w:hAnsi="標楷體" w:cs="細明體"/>
          <w:kern w:val="0"/>
          <w:szCs w:val="24"/>
        </w:rPr>
        <w:t>以下簡稱「本公司」</w:t>
      </w:r>
      <w:r w:rsidR="00383A67" w:rsidRPr="00CC177F">
        <w:rPr>
          <w:rFonts w:ascii="細明體" w:eastAsia="細明體" w:hAnsi="細明體" w:cs="細明體"/>
          <w:kern w:val="0"/>
          <w:szCs w:val="24"/>
        </w:rPr>
        <w:t>)</w:t>
      </w:r>
      <w:r w:rsidR="00995758" w:rsidRPr="00995758">
        <w:rPr>
          <w:rFonts w:ascii="標楷體" w:eastAsia="標楷體" w:hAnsi="標楷體" w:cs="細明體"/>
          <w:kern w:val="0"/>
          <w:szCs w:val="24"/>
        </w:rPr>
        <w:t xml:space="preserve"> 一</w:t>
      </w:r>
      <w:r w:rsidR="00995758" w:rsidRPr="00995758">
        <w:rPr>
          <w:rFonts w:ascii="標楷體" w:eastAsia="標楷體" w:hAnsi="標楷體" w:cs="細明體" w:hint="eastAsia"/>
          <w:kern w:val="0"/>
          <w:szCs w:val="24"/>
        </w:rPr>
        <w:t>百零</w:t>
      </w:r>
      <w:r w:rsidR="00995758" w:rsidRPr="00995758">
        <w:rPr>
          <w:rFonts w:ascii="標楷體" w:eastAsia="標楷體" w:hAnsi="標楷體" w:cs="細明體"/>
          <w:kern w:val="0"/>
          <w:szCs w:val="24"/>
        </w:rPr>
        <w:t>六年</w:t>
      </w:r>
      <w:r w:rsidRPr="00000973">
        <w:rPr>
          <w:rFonts w:ascii="標楷體" w:eastAsia="標楷體" w:hAnsi="標楷體" w:cs="細明體"/>
          <w:kern w:val="0"/>
          <w:szCs w:val="24"/>
        </w:rPr>
        <w:t>度第</w:t>
      </w:r>
      <w:r w:rsidR="00C10E18" w:rsidRPr="00000973">
        <w:rPr>
          <w:rFonts w:ascii="標楷體" w:eastAsia="標楷體" w:hAnsi="標楷體" w:cs="細明體" w:hint="eastAsia"/>
          <w:kern w:val="0"/>
          <w:szCs w:val="24"/>
        </w:rPr>
        <w:t>一</w:t>
      </w:r>
      <w:proofErr w:type="gramStart"/>
      <w:r w:rsidRPr="00000973">
        <w:rPr>
          <w:rFonts w:ascii="標楷體" w:eastAsia="標楷體" w:hAnsi="標楷體" w:cs="細明體"/>
          <w:kern w:val="0"/>
          <w:szCs w:val="24"/>
        </w:rPr>
        <w:t>期私募</w:t>
      </w:r>
      <w:r w:rsidRPr="00FC216C">
        <w:rPr>
          <w:rFonts w:ascii="標楷體" w:eastAsia="標楷體" w:hAnsi="標楷體" w:cs="細明體"/>
          <w:kern w:val="0"/>
          <w:szCs w:val="24"/>
        </w:rPr>
        <w:t>無</w:t>
      </w:r>
      <w:proofErr w:type="gramEnd"/>
      <w:r w:rsidRPr="00FC216C">
        <w:rPr>
          <w:rFonts w:ascii="標楷體" w:eastAsia="標楷體" w:hAnsi="標楷體" w:cs="細明體"/>
          <w:kern w:val="0"/>
          <w:szCs w:val="24"/>
        </w:rPr>
        <w:t>擔保普通公司債（以下稱「本公司債」）。</w:t>
      </w:r>
    </w:p>
    <w:p w:rsidR="00CC177F" w:rsidRPr="00FC216C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FC216C">
        <w:rPr>
          <w:rFonts w:ascii="標楷體" w:eastAsia="標楷體" w:hAnsi="標楷體" w:cs="細明體"/>
          <w:kern w:val="0"/>
          <w:szCs w:val="24"/>
        </w:rPr>
        <w:t>發行總額：本公司債發行總額為新台幣</w:t>
      </w:r>
      <w:r w:rsidR="00C10E18" w:rsidRPr="00FC216C">
        <w:rPr>
          <w:rFonts w:ascii="標楷體" w:eastAsia="標楷體" w:hAnsi="標楷體" w:cs="細明體" w:hint="eastAsia"/>
          <w:kern w:val="0"/>
          <w:szCs w:val="24"/>
        </w:rPr>
        <w:t>陸仟萬元整</w:t>
      </w:r>
      <w:r w:rsidRPr="00FC216C">
        <w:rPr>
          <w:rFonts w:ascii="標楷體" w:eastAsia="標楷體" w:hAnsi="標楷體" w:cs="細明體"/>
          <w:kern w:val="0"/>
          <w:szCs w:val="24"/>
        </w:rPr>
        <w:t>。</w:t>
      </w:r>
    </w:p>
    <w:p w:rsidR="00CC177F" w:rsidRPr="00FC216C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FC216C">
        <w:rPr>
          <w:rFonts w:ascii="標楷體" w:eastAsia="標楷體" w:hAnsi="標楷體" w:cs="細明體"/>
          <w:kern w:val="0"/>
          <w:szCs w:val="24"/>
        </w:rPr>
        <w:t>票面金額：本公司債之每張票面金額為新台幣壹仟萬元壹種。</w:t>
      </w:r>
    </w:p>
    <w:p w:rsidR="00CC177F" w:rsidRPr="00FC216C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FC216C">
        <w:rPr>
          <w:rFonts w:ascii="標楷體" w:eastAsia="標楷體" w:hAnsi="標楷體" w:cs="細明體"/>
          <w:kern w:val="0"/>
          <w:szCs w:val="24"/>
        </w:rPr>
        <w:t>發行價格：</w:t>
      </w:r>
      <w:r w:rsidR="00FC216C" w:rsidRPr="00FC216C">
        <w:rPr>
          <w:rFonts w:ascii="標楷體" w:eastAsia="標楷體" w:hAnsi="標楷體" w:hint="eastAsia"/>
          <w:szCs w:val="24"/>
        </w:rPr>
        <w:t>依票面金額之100%發行。</w:t>
      </w:r>
    </w:p>
    <w:p w:rsidR="00CC177F" w:rsidRPr="00FC216C" w:rsidRDefault="00C10E18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FC216C">
        <w:rPr>
          <w:rFonts w:ascii="標楷體" w:eastAsia="標楷體" w:hAnsi="標楷體" w:cs="細明體"/>
          <w:kern w:val="0"/>
          <w:szCs w:val="24"/>
        </w:rPr>
        <w:t>發行期限：本公司債發行期</w:t>
      </w:r>
      <w:r w:rsidR="00754858">
        <w:rPr>
          <w:rFonts w:ascii="標楷體" w:eastAsia="標楷體" w:hAnsi="標楷體" w:cs="細明體" w:hint="eastAsia"/>
          <w:kern w:val="0"/>
          <w:szCs w:val="24"/>
        </w:rPr>
        <w:t>間</w:t>
      </w:r>
      <w:r w:rsidRPr="00FC216C">
        <w:rPr>
          <w:rFonts w:ascii="標楷體" w:eastAsia="標楷體" w:hAnsi="標楷體" w:cs="細明體"/>
          <w:kern w:val="0"/>
          <w:szCs w:val="24"/>
        </w:rPr>
        <w:t>為</w:t>
      </w:r>
      <w:r w:rsidRPr="00FC216C">
        <w:rPr>
          <w:rFonts w:ascii="標楷體" w:eastAsia="標楷體" w:hAnsi="標楷體" w:cs="細明體" w:hint="eastAsia"/>
          <w:kern w:val="0"/>
          <w:szCs w:val="24"/>
        </w:rPr>
        <w:t>三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年期，自民國106年</w:t>
      </w:r>
      <w:r w:rsidRPr="00FC216C">
        <w:rPr>
          <w:rFonts w:ascii="標楷體" w:eastAsia="標楷體" w:hAnsi="標楷體" w:cs="細明體" w:hint="eastAsia"/>
          <w:kern w:val="0"/>
          <w:szCs w:val="24"/>
        </w:rPr>
        <w:t>1</w:t>
      </w:r>
      <w:r w:rsidR="006718C2">
        <w:rPr>
          <w:rFonts w:ascii="標楷體" w:eastAsia="標楷體" w:hAnsi="標楷體" w:cs="細明體" w:hint="eastAsia"/>
          <w:kern w:val="0"/>
          <w:szCs w:val="24"/>
        </w:rPr>
        <w:t>1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月</w:t>
      </w:r>
      <w:r w:rsidR="00C9770A">
        <w:rPr>
          <w:rFonts w:ascii="標楷體" w:eastAsia="標楷體" w:hAnsi="標楷體" w:cs="細明體" w:hint="eastAsia"/>
          <w:kern w:val="0"/>
          <w:szCs w:val="24"/>
        </w:rPr>
        <w:t>30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日發行，至民國10</w:t>
      </w:r>
      <w:r w:rsidRPr="00FC216C">
        <w:rPr>
          <w:rFonts w:ascii="標楷體" w:eastAsia="標楷體" w:hAnsi="標楷體" w:cs="細明體" w:hint="eastAsia"/>
          <w:kern w:val="0"/>
          <w:szCs w:val="24"/>
        </w:rPr>
        <w:t>9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年</w:t>
      </w:r>
      <w:r w:rsidRPr="00FC216C">
        <w:rPr>
          <w:rFonts w:ascii="標楷體" w:eastAsia="標楷體" w:hAnsi="標楷體" w:cs="細明體" w:hint="eastAsia"/>
          <w:kern w:val="0"/>
          <w:szCs w:val="24"/>
        </w:rPr>
        <w:t>1</w:t>
      </w:r>
      <w:r w:rsidR="006718C2">
        <w:rPr>
          <w:rFonts w:ascii="標楷體" w:eastAsia="標楷體" w:hAnsi="標楷體" w:cs="細明體" w:hint="eastAsia"/>
          <w:kern w:val="0"/>
          <w:szCs w:val="24"/>
        </w:rPr>
        <w:t>1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月</w:t>
      </w:r>
      <w:r w:rsidR="00C9770A">
        <w:rPr>
          <w:rFonts w:ascii="標楷體" w:eastAsia="標楷體" w:hAnsi="標楷體" w:cs="細明體" w:hint="eastAsia"/>
          <w:kern w:val="0"/>
          <w:szCs w:val="24"/>
        </w:rPr>
        <w:t>30</w:t>
      </w:r>
      <w:r w:rsidR="00CC177F" w:rsidRPr="00FC216C">
        <w:rPr>
          <w:rFonts w:ascii="標楷體" w:eastAsia="標楷體" w:hAnsi="標楷體" w:cs="細明體"/>
          <w:kern w:val="0"/>
          <w:szCs w:val="24"/>
        </w:rPr>
        <w:t>日到期。</w:t>
      </w:r>
    </w:p>
    <w:p w:rsidR="00CC177F" w:rsidRPr="00000973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票面利率：本公司債之票面利率為固定年利率</w:t>
      </w:r>
      <w:r w:rsidR="00C10E18" w:rsidRPr="00000973">
        <w:rPr>
          <w:rFonts w:ascii="標楷體" w:eastAsia="標楷體" w:hAnsi="標楷體" w:cs="細明體" w:hint="eastAsia"/>
          <w:kern w:val="0"/>
          <w:szCs w:val="24"/>
        </w:rPr>
        <w:t>1.8%</w:t>
      </w:r>
      <w:r w:rsidRPr="00000973">
        <w:rPr>
          <w:rFonts w:ascii="標楷體" w:eastAsia="標楷體" w:hAnsi="標楷體" w:cs="細明體"/>
          <w:kern w:val="0"/>
          <w:szCs w:val="24"/>
        </w:rPr>
        <w:t>。</w:t>
      </w:r>
    </w:p>
    <w:p w:rsidR="00CC177F" w:rsidRPr="00000973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還本方式：本公司債自發行日起到期一次還本。</w:t>
      </w:r>
    </w:p>
    <w:p w:rsidR="00CC177F" w:rsidRPr="00000973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買回權：本公司債自發行日起，滿</w:t>
      </w:r>
      <w:r w:rsidR="00C10E18" w:rsidRPr="00000973">
        <w:rPr>
          <w:rFonts w:ascii="標楷體" w:eastAsia="標楷體" w:hAnsi="標楷體" w:cs="細明體" w:hint="eastAsia"/>
          <w:kern w:val="0"/>
          <w:szCs w:val="24"/>
        </w:rPr>
        <w:t>二年</w:t>
      </w:r>
      <w:r w:rsidRPr="00000973">
        <w:rPr>
          <w:rFonts w:ascii="標楷體" w:eastAsia="標楷體" w:hAnsi="標楷體" w:cs="細明體"/>
          <w:kern w:val="0"/>
          <w:szCs w:val="24"/>
        </w:rPr>
        <w:t>後，本公司隨時得以每張票面金額強制提前買回，本公司債之債權人不得有異議。本公司將於本公司債強制買回前10日以書面或其他方式通知本公司債債權人買回公司債及買回金額，公司債買回金額係按債券面額計算並加計利息。</w:t>
      </w:r>
    </w:p>
    <w:p w:rsidR="00CC177F" w:rsidRPr="00000973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計付息方式：本公司債自發行日起依票面利率，每年單利計付息乙次。每壹仟萬元債券付息至元為止，元以下四捨五入。本公司債還本付息日如為付款地銀行業停止營業日時，則於停止營業日之次一營業日給付本息，且</w:t>
      </w:r>
      <w:proofErr w:type="gramStart"/>
      <w:r w:rsidRPr="00000973">
        <w:rPr>
          <w:rFonts w:ascii="標楷體" w:eastAsia="標楷體" w:hAnsi="標楷體" w:cs="細明體"/>
          <w:kern w:val="0"/>
          <w:szCs w:val="24"/>
        </w:rPr>
        <w:t>不</w:t>
      </w:r>
      <w:proofErr w:type="gramEnd"/>
      <w:r w:rsidRPr="00000973">
        <w:rPr>
          <w:rFonts w:ascii="標楷體" w:eastAsia="標楷體" w:hAnsi="標楷體" w:cs="細明體"/>
          <w:kern w:val="0"/>
          <w:szCs w:val="24"/>
        </w:rPr>
        <w:t>另付利息。</w:t>
      </w:r>
    </w:p>
    <w:p w:rsidR="00CC177F" w:rsidRDefault="00CC177F" w:rsidP="00000973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0" w:left="480" w:hangingChars="200" w:hanging="4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債券形式：本公司債</w:t>
      </w:r>
      <w:proofErr w:type="gramStart"/>
      <w:r w:rsidRPr="00000973">
        <w:rPr>
          <w:rFonts w:ascii="標楷體" w:eastAsia="標楷體" w:hAnsi="標楷體" w:cs="細明體"/>
          <w:kern w:val="0"/>
          <w:szCs w:val="24"/>
        </w:rPr>
        <w:t>採</w:t>
      </w:r>
      <w:proofErr w:type="gramEnd"/>
      <w:r w:rsidRPr="00000973">
        <w:rPr>
          <w:rFonts w:ascii="標楷體" w:eastAsia="標楷體" w:hAnsi="標楷體" w:cs="細明體"/>
          <w:kern w:val="0"/>
          <w:szCs w:val="24"/>
        </w:rPr>
        <w:t>無實體發行，並洽台灣集中保管結算所股份有限公司登錄。</w:t>
      </w:r>
    </w:p>
    <w:p w:rsidR="00CC177F" w:rsidRPr="00000973" w:rsidRDefault="001E56C1" w:rsidP="00035E47">
      <w:pPr>
        <w:pStyle w:val="a7"/>
        <w:widowControl/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-100" w:left="540" w:hangingChars="325" w:hanging="7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還本付息代理機構：</w:t>
      </w:r>
      <w:r w:rsidR="00621B9B" w:rsidRPr="00621B9B">
        <w:rPr>
          <w:rFonts w:ascii="標楷體" w:eastAsia="標楷體" w:hAnsi="標楷體" w:cs="細明體" w:hint="eastAsia"/>
          <w:kern w:val="0"/>
          <w:szCs w:val="24"/>
        </w:rPr>
        <w:t>本公司債委託華南</w:t>
      </w:r>
      <w:r w:rsidR="00621B9B" w:rsidRPr="00621B9B">
        <w:rPr>
          <w:rFonts w:ascii="標楷體" w:eastAsia="標楷體" w:hAnsi="標楷體" w:cs="細明體"/>
          <w:kern w:val="0"/>
          <w:szCs w:val="24"/>
        </w:rPr>
        <w:t>銀行</w:t>
      </w:r>
      <w:r w:rsidR="00621B9B" w:rsidRPr="00621B9B">
        <w:rPr>
          <w:rFonts w:ascii="標楷體" w:eastAsia="標楷體" w:hAnsi="標楷體" w:cs="細明體" w:hint="eastAsia"/>
          <w:kern w:val="0"/>
          <w:szCs w:val="24"/>
        </w:rPr>
        <w:t>城東分行代理還本付息事宜</w:t>
      </w:r>
      <w:r w:rsidR="0074058A" w:rsidRPr="0074058A">
        <w:rPr>
          <w:rFonts w:ascii="標楷體" w:eastAsia="標楷體" w:hAnsi="標楷體" w:cs="細明體"/>
          <w:kern w:val="0"/>
          <w:szCs w:val="24"/>
        </w:rPr>
        <w:t>。</w:t>
      </w:r>
      <w:r w:rsidR="0074058A" w:rsidRPr="00000973">
        <w:rPr>
          <w:rFonts w:ascii="標楷體" w:eastAsia="標楷體" w:hAnsi="標楷體" w:cs="細明體"/>
          <w:kern w:val="0"/>
          <w:szCs w:val="24"/>
        </w:rPr>
        <w:t xml:space="preserve"> </w:t>
      </w:r>
    </w:p>
    <w:p w:rsidR="00CC177F" w:rsidRPr="00000973" w:rsidRDefault="00CC177F" w:rsidP="00035E47">
      <w:pPr>
        <w:pStyle w:val="a7"/>
        <w:widowControl/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leftChars="-100" w:left="540" w:hangingChars="325" w:hanging="780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通知方式：有關本公司債應通知債權人之事項，依法令規定辦理。</w:t>
      </w:r>
    </w:p>
    <w:p w:rsidR="00CC177F" w:rsidRPr="00000973" w:rsidRDefault="00CC177F" w:rsidP="001E56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CC17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CC177F" w:rsidRPr="00000973" w:rsidRDefault="00CC177F" w:rsidP="00383A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kern w:val="0"/>
          <w:szCs w:val="24"/>
        </w:rPr>
      </w:pPr>
      <w:r w:rsidRPr="00000973">
        <w:rPr>
          <w:rFonts w:ascii="標楷體" w:eastAsia="標楷體" w:hAnsi="標楷體" w:cs="細明體"/>
          <w:kern w:val="0"/>
          <w:szCs w:val="24"/>
        </w:rPr>
        <w:t>中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Pr="00000973">
        <w:rPr>
          <w:rFonts w:ascii="標楷體" w:eastAsia="標楷體" w:hAnsi="標楷體" w:cs="細明體"/>
          <w:kern w:val="0"/>
          <w:szCs w:val="24"/>
        </w:rPr>
        <w:t>華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Pr="00000973">
        <w:rPr>
          <w:rFonts w:ascii="標楷體" w:eastAsia="標楷體" w:hAnsi="標楷體" w:cs="細明體"/>
          <w:kern w:val="0"/>
          <w:szCs w:val="24"/>
        </w:rPr>
        <w:t>民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   </w:t>
      </w:r>
      <w:r w:rsidRPr="00000973">
        <w:rPr>
          <w:rFonts w:ascii="標楷體" w:eastAsia="標楷體" w:hAnsi="標楷體" w:cs="細明體"/>
          <w:kern w:val="0"/>
          <w:szCs w:val="24"/>
        </w:rPr>
        <w:t>國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proofErr w:type="gramStart"/>
      <w:r w:rsidRPr="00000973">
        <w:rPr>
          <w:rFonts w:ascii="標楷體" w:eastAsia="標楷體" w:hAnsi="標楷體" w:cs="細明體"/>
          <w:kern w:val="0"/>
          <w:szCs w:val="24"/>
        </w:rPr>
        <w:t>一</w:t>
      </w:r>
      <w:proofErr w:type="gramEnd"/>
      <w:r w:rsidR="0048107E" w:rsidRPr="00000973">
        <w:rPr>
          <w:rFonts w:ascii="標楷體" w:eastAsia="標楷體" w:hAnsi="標楷體" w:cs="細明體"/>
          <w:kern w:val="0"/>
          <w:szCs w:val="24"/>
        </w:rPr>
        <w:t>O</w:t>
      </w:r>
      <w:r w:rsidR="001E56C1" w:rsidRPr="00000973">
        <w:rPr>
          <w:rFonts w:ascii="標楷體" w:eastAsia="標楷體" w:hAnsi="標楷體" w:cs="細明體"/>
          <w:kern w:val="0"/>
          <w:szCs w:val="24"/>
        </w:rPr>
        <w:t>六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</w:t>
      </w:r>
      <w:r w:rsidR="001E56C1" w:rsidRPr="00000973">
        <w:rPr>
          <w:rFonts w:ascii="標楷體" w:eastAsia="標楷體" w:hAnsi="標楷體" w:cs="細明體"/>
          <w:kern w:val="0"/>
          <w:szCs w:val="24"/>
        </w:rPr>
        <w:t>年</w:t>
      </w:r>
      <w:r w:rsidR="001E56C1" w:rsidRPr="00000973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="0048107E">
        <w:rPr>
          <w:rFonts w:ascii="標楷體" w:eastAsia="標楷體" w:hAnsi="標楷體" w:cs="細明體" w:hint="eastAsia"/>
          <w:kern w:val="0"/>
          <w:szCs w:val="24"/>
        </w:rPr>
        <w:t>十一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 </w:t>
      </w:r>
      <w:r w:rsidR="001E56C1" w:rsidRPr="00000973">
        <w:rPr>
          <w:rFonts w:ascii="標楷體" w:eastAsia="標楷體" w:hAnsi="標楷體" w:cs="細明體"/>
          <w:kern w:val="0"/>
          <w:szCs w:val="24"/>
        </w:rPr>
        <w:t>月</w:t>
      </w:r>
      <w:r w:rsidR="001E56C1" w:rsidRPr="00000973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694230">
        <w:rPr>
          <w:rFonts w:ascii="標楷體" w:eastAsia="標楷體" w:hAnsi="標楷體" w:cs="細明體" w:hint="eastAsia"/>
          <w:kern w:val="0"/>
          <w:szCs w:val="24"/>
        </w:rPr>
        <w:t>二十</w:t>
      </w:r>
      <w:r w:rsidR="005E08E5">
        <w:rPr>
          <w:rFonts w:ascii="標楷體" w:eastAsia="標楷體" w:hAnsi="標楷體" w:cs="細明體" w:hint="eastAsia"/>
          <w:kern w:val="0"/>
          <w:szCs w:val="24"/>
        </w:rPr>
        <w:t>八</w:t>
      </w:r>
      <w:r w:rsidR="00383A67"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000973">
        <w:rPr>
          <w:rFonts w:ascii="標楷體" w:eastAsia="標楷體" w:hAnsi="標楷體" w:cs="細明體"/>
          <w:kern w:val="0"/>
          <w:szCs w:val="24"/>
        </w:rPr>
        <w:t>日</w:t>
      </w:r>
    </w:p>
    <w:p w:rsidR="00652F0C" w:rsidRPr="00000973" w:rsidRDefault="00652F0C">
      <w:pPr>
        <w:rPr>
          <w:rFonts w:ascii="標楷體" w:eastAsia="標楷體" w:hAnsi="標楷體"/>
        </w:rPr>
      </w:pPr>
    </w:p>
    <w:sectPr w:rsidR="00652F0C" w:rsidRPr="00000973" w:rsidSect="00652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6A" w:rsidRDefault="002F276A" w:rsidP="00C10E18">
      <w:r>
        <w:separator/>
      </w:r>
    </w:p>
  </w:endnote>
  <w:endnote w:type="continuationSeparator" w:id="0">
    <w:p w:rsidR="002F276A" w:rsidRDefault="002F276A" w:rsidP="00C10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6A" w:rsidRDefault="002F276A" w:rsidP="00C10E18">
      <w:r>
        <w:separator/>
      </w:r>
    </w:p>
  </w:footnote>
  <w:footnote w:type="continuationSeparator" w:id="0">
    <w:p w:rsidR="002F276A" w:rsidRDefault="002F276A" w:rsidP="00C10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4974"/>
    <w:multiLevelType w:val="hybridMultilevel"/>
    <w:tmpl w:val="12B0303C"/>
    <w:lvl w:ilvl="0" w:tplc="BAAA9732">
      <w:start w:val="1"/>
      <w:numFmt w:val="taiwaneseCountingThousand"/>
      <w:lvlText w:val="%1、"/>
      <w:lvlJc w:val="left"/>
      <w:pPr>
        <w:ind w:left="592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2F0CE3"/>
    <w:multiLevelType w:val="hybridMultilevel"/>
    <w:tmpl w:val="2FDA3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24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77F"/>
    <w:rsid w:val="00000973"/>
    <w:rsid w:val="00035E47"/>
    <w:rsid w:val="00051B03"/>
    <w:rsid w:val="000E64B1"/>
    <w:rsid w:val="000F484C"/>
    <w:rsid w:val="00167E2F"/>
    <w:rsid w:val="001E56C1"/>
    <w:rsid w:val="002F276A"/>
    <w:rsid w:val="00383A67"/>
    <w:rsid w:val="00444C35"/>
    <w:rsid w:val="0048107E"/>
    <w:rsid w:val="004B5310"/>
    <w:rsid w:val="005E08E5"/>
    <w:rsid w:val="0060535F"/>
    <w:rsid w:val="00621B9B"/>
    <w:rsid w:val="00652F0C"/>
    <w:rsid w:val="006718C2"/>
    <w:rsid w:val="00694230"/>
    <w:rsid w:val="006E2AF2"/>
    <w:rsid w:val="0074058A"/>
    <w:rsid w:val="00754858"/>
    <w:rsid w:val="007B43DE"/>
    <w:rsid w:val="007E1033"/>
    <w:rsid w:val="00985D46"/>
    <w:rsid w:val="00991BA5"/>
    <w:rsid w:val="00995758"/>
    <w:rsid w:val="009D4C63"/>
    <w:rsid w:val="00A92250"/>
    <w:rsid w:val="00AD1262"/>
    <w:rsid w:val="00C10E18"/>
    <w:rsid w:val="00C766CA"/>
    <w:rsid w:val="00C9770A"/>
    <w:rsid w:val="00CC177F"/>
    <w:rsid w:val="00CE46FC"/>
    <w:rsid w:val="00CF05C4"/>
    <w:rsid w:val="00D871D8"/>
    <w:rsid w:val="00D914E6"/>
    <w:rsid w:val="00E33111"/>
    <w:rsid w:val="00F11284"/>
    <w:rsid w:val="00FC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C177F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E18"/>
    <w:rPr>
      <w:sz w:val="20"/>
      <w:szCs w:val="20"/>
    </w:rPr>
  </w:style>
  <w:style w:type="paragraph" w:styleId="a7">
    <w:name w:val="List Paragraph"/>
    <w:basedOn w:val="a"/>
    <w:uiPriority w:val="34"/>
    <w:qFormat/>
    <w:rsid w:val="001E56C1"/>
    <w:pPr>
      <w:ind w:leftChars="200" w:left="480"/>
    </w:pPr>
  </w:style>
  <w:style w:type="character" w:styleId="a8">
    <w:name w:val="annotation reference"/>
    <w:rsid w:val="00FC216C"/>
    <w:rPr>
      <w:sz w:val="18"/>
      <w:szCs w:val="18"/>
    </w:rPr>
  </w:style>
  <w:style w:type="paragraph" w:styleId="a9">
    <w:name w:val="annotation text"/>
    <w:basedOn w:val="a"/>
    <w:link w:val="aa"/>
    <w:rsid w:val="00FC216C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FC216C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C2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21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7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C177F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1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E18"/>
    <w:rPr>
      <w:sz w:val="20"/>
      <w:szCs w:val="20"/>
    </w:rPr>
  </w:style>
  <w:style w:type="paragraph" w:styleId="a7">
    <w:name w:val="List Paragraph"/>
    <w:basedOn w:val="a"/>
    <w:uiPriority w:val="34"/>
    <w:qFormat/>
    <w:rsid w:val="001E56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tw5659</dc:creator>
  <cp:lastModifiedBy>tw5659</cp:lastModifiedBy>
  <cp:revision>10</cp:revision>
  <cp:lastPrinted>2017-11-24T02:32:00Z</cp:lastPrinted>
  <dcterms:created xsi:type="dcterms:W3CDTF">2017-11-20T01:30:00Z</dcterms:created>
  <dcterms:modified xsi:type="dcterms:W3CDTF">2017-11-24T02:32:00Z</dcterms:modified>
</cp:coreProperties>
</file>