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0E" w:rsidRPr="00AD791C" w:rsidRDefault="00394792">
      <w:pPr>
        <w:pStyle w:val="1"/>
        <w:rPr>
          <w:rFonts w:ascii="標楷體" w:eastAsia="標楷體" w:hAnsi="標楷體"/>
          <w:sz w:val="32"/>
          <w:lang w:eastAsia="zh-TW"/>
        </w:rPr>
      </w:pPr>
      <w:bookmarkStart w:id="0" w:name="_GoBack"/>
      <w:bookmarkEnd w:id="0"/>
      <w:r>
        <w:rPr>
          <w:rFonts w:ascii="標楷體" w:eastAsia="標楷體" w:hAnsi="標楷體" w:hint="eastAsia"/>
          <w:sz w:val="32"/>
          <w:lang w:eastAsia="zh-TW"/>
        </w:rPr>
        <w:t>中磊電子股份有限公司</w:t>
      </w:r>
    </w:p>
    <w:p w:rsidR="006931EC" w:rsidRDefault="00436A20">
      <w:pPr>
        <w:spacing w:line="470" w:lineRule="exact"/>
        <w:ind w:left="1376" w:right="1423"/>
        <w:jc w:val="center"/>
        <w:rPr>
          <w:rFonts w:ascii="標楷體" w:eastAsia="標楷體" w:hAnsi="標楷體"/>
          <w:sz w:val="32"/>
          <w:lang w:eastAsia="zh-TW"/>
        </w:rPr>
      </w:pPr>
      <w:r>
        <w:rPr>
          <w:rFonts w:ascii="標楷體" w:eastAsia="標楷體" w:hAnsi="標楷體" w:hint="eastAsia"/>
          <w:sz w:val="32"/>
          <w:lang w:eastAsia="zh-TW"/>
        </w:rPr>
        <w:t>一○八</w:t>
      </w:r>
      <w:r w:rsidR="00AD791C" w:rsidRPr="00AD791C">
        <w:rPr>
          <w:rFonts w:ascii="標楷體" w:eastAsia="標楷體" w:hAnsi="標楷體"/>
          <w:sz w:val="32"/>
          <w:lang w:eastAsia="zh-TW"/>
        </w:rPr>
        <w:t>年度第</w:t>
      </w:r>
      <w:r>
        <w:rPr>
          <w:rFonts w:ascii="標楷體" w:eastAsia="標楷體" w:hAnsi="標楷體" w:hint="eastAsia"/>
          <w:sz w:val="32"/>
          <w:lang w:eastAsia="zh-TW"/>
        </w:rPr>
        <w:t>一次國內</w:t>
      </w:r>
      <w:r w:rsidR="00AD791C" w:rsidRPr="00AD791C">
        <w:rPr>
          <w:rFonts w:ascii="標楷體" w:eastAsia="標楷體" w:hAnsi="標楷體"/>
          <w:sz w:val="32"/>
          <w:lang w:eastAsia="zh-TW"/>
        </w:rPr>
        <w:t>無擔保普通公司債</w:t>
      </w:r>
      <w:r w:rsidR="001E508D" w:rsidRPr="00AD791C">
        <w:rPr>
          <w:rFonts w:ascii="標楷體" w:eastAsia="標楷體" w:hAnsi="標楷體"/>
          <w:sz w:val="32"/>
          <w:lang w:eastAsia="zh-TW"/>
        </w:rPr>
        <w:t>發行辦法</w:t>
      </w:r>
    </w:p>
    <w:p w:rsidR="00145711" w:rsidRDefault="00145711">
      <w:pPr>
        <w:spacing w:line="470" w:lineRule="exact"/>
        <w:ind w:left="1376" w:right="1423"/>
        <w:jc w:val="center"/>
        <w:rPr>
          <w:rFonts w:ascii="標楷體" w:eastAsia="標楷體" w:hAnsi="標楷體"/>
          <w:sz w:val="32"/>
          <w:lang w:eastAsia="zh-TW"/>
        </w:rPr>
      </w:pPr>
    </w:p>
    <w:p w:rsidR="00C9450E" w:rsidRPr="00AD791C" w:rsidRDefault="00394792" w:rsidP="006748FC">
      <w:pPr>
        <w:pStyle w:val="a3"/>
        <w:tabs>
          <w:tab w:val="left" w:pos="7031"/>
        </w:tabs>
        <w:spacing w:before="257" w:line="276" w:lineRule="auto"/>
        <w:ind w:right="162"/>
        <w:rPr>
          <w:rFonts w:ascii="標楷體" w:eastAsia="標楷體" w:hAnsi="標楷體"/>
          <w:lang w:eastAsia="zh-TW"/>
        </w:rPr>
      </w:pPr>
      <w:r>
        <w:rPr>
          <w:rFonts w:ascii="標楷體" w:eastAsia="標楷體" w:hAnsi="標楷體" w:hint="eastAsia"/>
          <w:lang w:eastAsia="zh-TW"/>
        </w:rPr>
        <w:t>中磊電子股份有限公司</w:t>
      </w:r>
      <w:r w:rsidR="001E508D" w:rsidRPr="00AD791C">
        <w:rPr>
          <w:rFonts w:ascii="標楷體" w:eastAsia="標楷體" w:hAnsi="標楷體"/>
          <w:lang w:eastAsia="zh-TW"/>
        </w:rPr>
        <w:t>（以下簡稱「本公司</w:t>
      </w:r>
      <w:r w:rsidR="001E508D" w:rsidRPr="00AD791C">
        <w:rPr>
          <w:rFonts w:ascii="標楷體" w:eastAsia="標楷體" w:hAnsi="標楷體"/>
          <w:spacing w:val="-118"/>
          <w:lang w:eastAsia="zh-TW"/>
        </w:rPr>
        <w:t>」</w:t>
      </w:r>
      <w:r w:rsidR="001E508D" w:rsidRPr="00AD791C">
        <w:rPr>
          <w:rFonts w:ascii="標楷體" w:eastAsia="標楷體" w:hAnsi="標楷體"/>
          <w:lang w:eastAsia="zh-TW"/>
        </w:rPr>
        <w:t>）經呈奉</w:t>
      </w:r>
      <w:r w:rsidR="00B558A5">
        <w:rPr>
          <w:rFonts w:ascii="標楷體" w:eastAsia="標楷體" w:hAnsi="標楷體" w:hint="eastAsia"/>
          <w:lang w:eastAsia="zh-TW"/>
        </w:rPr>
        <w:t xml:space="preserve">  </w:t>
      </w:r>
      <w:r w:rsidR="001E508D" w:rsidRPr="00AD791C">
        <w:rPr>
          <w:rFonts w:ascii="標楷體" w:eastAsia="標楷體" w:hAnsi="標楷體"/>
          <w:lang w:eastAsia="zh-TW"/>
        </w:rPr>
        <w:t>財團法人中華民國證券櫃檯買賣中心證櫃債</w:t>
      </w:r>
      <w:r w:rsidR="001E508D" w:rsidRPr="00BD10FE">
        <w:rPr>
          <w:rFonts w:ascii="標楷體" w:eastAsia="標楷體" w:hAnsi="標楷體"/>
          <w:lang w:eastAsia="zh-TW"/>
        </w:rPr>
        <w:t>字第</w:t>
      </w:r>
      <w:r w:rsidR="000B7567" w:rsidRPr="000B7567">
        <w:rPr>
          <w:rFonts w:ascii="Times New Roman" w:eastAsia="標楷體" w:hAnsi="Times New Roman" w:cs="Times New Roman"/>
          <w:lang w:eastAsia="zh-TW"/>
        </w:rPr>
        <w:t>10800081021</w:t>
      </w:r>
      <w:r w:rsidR="001E508D" w:rsidRPr="00BD10FE">
        <w:rPr>
          <w:rFonts w:ascii="標楷體" w:eastAsia="標楷體" w:hAnsi="標楷體"/>
          <w:lang w:eastAsia="zh-TW"/>
        </w:rPr>
        <w:t>號</w:t>
      </w:r>
      <w:r w:rsidR="001E508D" w:rsidRPr="00AD791C">
        <w:rPr>
          <w:rFonts w:ascii="標楷體" w:eastAsia="標楷體" w:hAnsi="標楷體"/>
          <w:lang w:eastAsia="zh-TW"/>
        </w:rPr>
        <w:t>函通知申報生效發行公司債，訂定發行辦法如下：</w:t>
      </w:r>
    </w:p>
    <w:p w:rsidR="00C9450E" w:rsidRPr="00AD791C" w:rsidRDefault="001E508D" w:rsidP="006748FC">
      <w:pPr>
        <w:pStyle w:val="a3"/>
        <w:spacing w:line="276" w:lineRule="auto"/>
        <w:ind w:left="1680" w:hangingChars="700" w:hanging="1680"/>
        <w:jc w:val="both"/>
        <w:rPr>
          <w:rFonts w:ascii="標楷體" w:eastAsia="標楷體" w:hAnsi="標楷體"/>
          <w:lang w:eastAsia="zh-TW"/>
        </w:rPr>
      </w:pPr>
      <w:r w:rsidRPr="00AD791C">
        <w:rPr>
          <w:rFonts w:ascii="標楷體" w:eastAsia="標楷體" w:hAnsi="標楷體"/>
          <w:lang w:eastAsia="zh-TW"/>
        </w:rPr>
        <w:t>一、債券名稱：</w:t>
      </w:r>
      <w:r w:rsidR="00394792">
        <w:rPr>
          <w:rFonts w:ascii="標楷體" w:eastAsia="標楷體" w:hAnsi="標楷體" w:hint="eastAsia"/>
          <w:lang w:eastAsia="zh-TW"/>
        </w:rPr>
        <w:t>中磊電子股份有限公司</w:t>
      </w:r>
      <w:r w:rsidR="000F68E0">
        <w:rPr>
          <w:rFonts w:ascii="標楷體" w:eastAsia="標楷體" w:hAnsi="標楷體" w:hint="eastAsia"/>
          <w:lang w:eastAsia="zh-TW"/>
        </w:rPr>
        <w:t>一</w:t>
      </w:r>
      <w:r w:rsidR="006931EC">
        <w:rPr>
          <w:rFonts w:ascii="標楷體" w:eastAsia="標楷體" w:hAnsi="標楷體" w:hint="eastAsia"/>
          <w:lang w:eastAsia="zh-TW"/>
        </w:rPr>
        <w:t>○</w:t>
      </w:r>
      <w:r w:rsidR="000F68E0">
        <w:rPr>
          <w:rFonts w:ascii="標楷體" w:eastAsia="標楷體" w:hAnsi="標楷體" w:hint="eastAsia"/>
          <w:lang w:eastAsia="zh-TW"/>
        </w:rPr>
        <w:t>八</w:t>
      </w:r>
      <w:r w:rsidR="00AD791C" w:rsidRPr="00AD791C">
        <w:rPr>
          <w:rFonts w:ascii="標楷體" w:eastAsia="標楷體" w:hAnsi="標楷體"/>
          <w:lang w:eastAsia="zh-TW"/>
        </w:rPr>
        <w:t>年度第</w:t>
      </w:r>
      <w:r w:rsidR="000F68E0">
        <w:rPr>
          <w:rFonts w:ascii="標楷體" w:eastAsia="標楷體" w:hAnsi="標楷體" w:hint="eastAsia"/>
          <w:lang w:eastAsia="zh-TW"/>
        </w:rPr>
        <w:t>一</w:t>
      </w:r>
      <w:r w:rsidR="00436A20">
        <w:rPr>
          <w:rFonts w:ascii="標楷體" w:eastAsia="標楷體" w:hAnsi="標楷體" w:hint="eastAsia"/>
          <w:lang w:eastAsia="zh-TW"/>
        </w:rPr>
        <w:t>次國內</w:t>
      </w:r>
      <w:r w:rsidR="00AD791C" w:rsidRPr="00AD791C">
        <w:rPr>
          <w:rFonts w:ascii="標楷體" w:eastAsia="標楷體" w:hAnsi="標楷體"/>
          <w:lang w:eastAsia="zh-TW"/>
        </w:rPr>
        <w:t>無擔保普通公司債</w:t>
      </w:r>
      <w:r w:rsidRPr="00AD791C">
        <w:rPr>
          <w:rFonts w:ascii="標楷體" w:eastAsia="標楷體" w:hAnsi="標楷體"/>
          <w:lang w:eastAsia="zh-TW"/>
        </w:rPr>
        <w:t>（以下稱</w:t>
      </w:r>
      <w:r w:rsidRPr="004402A3">
        <w:rPr>
          <w:rFonts w:ascii="標楷體" w:eastAsia="標楷體" w:hAnsi="標楷體"/>
          <w:lang w:eastAsia="zh-TW"/>
        </w:rPr>
        <w:t>「本公司債」）。</w:t>
      </w:r>
    </w:p>
    <w:p w:rsidR="00AD791C" w:rsidRDefault="001E508D" w:rsidP="006748FC">
      <w:pPr>
        <w:pStyle w:val="a3"/>
        <w:spacing w:line="276" w:lineRule="auto"/>
        <w:ind w:left="1680" w:hangingChars="700" w:hanging="1680"/>
        <w:jc w:val="both"/>
        <w:rPr>
          <w:rFonts w:ascii="標楷體" w:eastAsia="標楷體" w:hAnsi="標楷體"/>
          <w:lang w:eastAsia="zh-TW"/>
        </w:rPr>
      </w:pPr>
      <w:r w:rsidRPr="00AD791C">
        <w:rPr>
          <w:rFonts w:ascii="標楷體" w:eastAsia="標楷體" w:hAnsi="標楷體"/>
          <w:lang w:eastAsia="zh-TW"/>
        </w:rPr>
        <w:t>二、發行總額：發行總額新臺幣</w:t>
      </w:r>
      <w:r w:rsidR="006748FC">
        <w:rPr>
          <w:rFonts w:ascii="Times New Roman" w:eastAsia="標楷體" w:hAnsi="Times New Roman" w:cs="Times New Roman" w:hint="eastAsia"/>
          <w:lang w:eastAsia="zh-TW"/>
        </w:rPr>
        <w:t>23</w:t>
      </w:r>
      <w:r w:rsidRPr="004402A3">
        <w:rPr>
          <w:rFonts w:ascii="標楷體" w:eastAsia="標楷體" w:hAnsi="標楷體"/>
          <w:lang w:eastAsia="zh-TW"/>
        </w:rPr>
        <w:t>億元整。</w:t>
      </w:r>
    </w:p>
    <w:p w:rsidR="00C9450E" w:rsidRPr="00AD791C" w:rsidRDefault="001E508D" w:rsidP="006748FC">
      <w:pPr>
        <w:pStyle w:val="a3"/>
        <w:spacing w:line="276" w:lineRule="auto"/>
        <w:ind w:left="1680" w:hangingChars="700" w:hanging="1680"/>
        <w:jc w:val="both"/>
        <w:rPr>
          <w:rFonts w:ascii="標楷體" w:eastAsia="標楷體" w:hAnsi="標楷體"/>
          <w:lang w:eastAsia="zh-TW"/>
        </w:rPr>
      </w:pPr>
      <w:r w:rsidRPr="004402A3">
        <w:rPr>
          <w:rFonts w:ascii="標楷體" w:eastAsia="標楷體" w:hAnsi="標楷體"/>
          <w:lang w:eastAsia="zh-TW"/>
        </w:rPr>
        <w:t>三、票面金額：新臺幣壹佰萬元整。</w:t>
      </w:r>
    </w:p>
    <w:p w:rsidR="00C9450E" w:rsidRPr="00AD791C" w:rsidRDefault="001E508D" w:rsidP="006748FC">
      <w:pPr>
        <w:pStyle w:val="a3"/>
        <w:spacing w:line="276" w:lineRule="auto"/>
        <w:ind w:left="1680" w:hangingChars="700" w:hanging="1680"/>
        <w:jc w:val="both"/>
        <w:rPr>
          <w:rFonts w:ascii="標楷體" w:eastAsia="標楷體" w:hAnsi="標楷體"/>
          <w:lang w:eastAsia="zh-TW"/>
        </w:rPr>
      </w:pPr>
      <w:r w:rsidRPr="004402A3">
        <w:rPr>
          <w:rFonts w:ascii="標楷體" w:eastAsia="標楷體" w:hAnsi="標楷體"/>
          <w:lang w:eastAsia="zh-TW"/>
        </w:rPr>
        <w:t>四、發行價格：依票面金額十足發行。</w:t>
      </w:r>
    </w:p>
    <w:p w:rsidR="00C9450E" w:rsidRPr="004402A3" w:rsidRDefault="001E508D" w:rsidP="006748FC">
      <w:pPr>
        <w:pStyle w:val="a3"/>
        <w:spacing w:line="276" w:lineRule="auto"/>
        <w:ind w:left="1680" w:hangingChars="700" w:hanging="1680"/>
        <w:jc w:val="both"/>
        <w:rPr>
          <w:rFonts w:ascii="標楷體" w:eastAsia="標楷體" w:hAnsi="標楷體"/>
          <w:lang w:eastAsia="zh-TW"/>
        </w:rPr>
      </w:pPr>
      <w:r w:rsidRPr="00AD791C">
        <w:rPr>
          <w:rFonts w:ascii="標楷體" w:eastAsia="標楷體" w:hAnsi="標楷體"/>
          <w:lang w:eastAsia="zh-TW"/>
        </w:rPr>
        <w:t>五、發行期間：</w:t>
      </w:r>
      <w:r w:rsidR="00436A20">
        <w:rPr>
          <w:rFonts w:ascii="標楷體" w:eastAsia="標楷體" w:hAnsi="標楷體"/>
          <w:lang w:eastAsia="zh-TW"/>
        </w:rPr>
        <w:t>發行期間</w:t>
      </w:r>
      <w:r w:rsidR="00436A20">
        <w:rPr>
          <w:rFonts w:ascii="標楷體" w:eastAsia="標楷體" w:hAnsi="標楷體" w:hint="eastAsia"/>
          <w:lang w:eastAsia="zh-TW"/>
        </w:rPr>
        <w:t>為</w:t>
      </w:r>
      <w:r w:rsidR="00436A20" w:rsidRPr="00EB12B8">
        <w:rPr>
          <w:rFonts w:ascii="Times New Roman" w:eastAsia="標楷體" w:hAnsi="Times New Roman" w:cs="Times New Roman"/>
          <w:lang w:eastAsia="zh-TW"/>
        </w:rPr>
        <w:t>5</w:t>
      </w:r>
      <w:r w:rsidR="00436A20">
        <w:rPr>
          <w:rFonts w:ascii="標楷體" w:eastAsia="標楷體" w:hAnsi="標楷體"/>
          <w:lang w:eastAsia="zh-TW"/>
        </w:rPr>
        <w:t>年期</w:t>
      </w:r>
      <w:r w:rsidR="00436A20">
        <w:rPr>
          <w:rFonts w:ascii="標楷體" w:eastAsia="標楷體" w:hAnsi="標楷體" w:hint="eastAsia"/>
          <w:lang w:eastAsia="zh-TW"/>
        </w:rPr>
        <w:t>，</w:t>
      </w:r>
      <w:r w:rsidRPr="00EB12B8">
        <w:rPr>
          <w:rFonts w:ascii="Times New Roman" w:eastAsia="標楷體" w:hAnsi="Times New Roman" w:cs="Times New Roman"/>
          <w:lang w:eastAsia="zh-TW"/>
        </w:rPr>
        <w:t>自</w:t>
      </w:r>
      <w:r w:rsidRPr="00EB12B8">
        <w:rPr>
          <w:rFonts w:ascii="Times New Roman" w:eastAsia="標楷體" w:hAnsi="Times New Roman" w:cs="Times New Roman"/>
          <w:lang w:eastAsia="zh-TW"/>
        </w:rPr>
        <w:t>10</w:t>
      </w:r>
      <w:r w:rsidR="00AD791C" w:rsidRPr="00EB12B8">
        <w:rPr>
          <w:rFonts w:ascii="Times New Roman" w:eastAsia="標楷體" w:hAnsi="Times New Roman" w:cs="Times New Roman"/>
          <w:lang w:eastAsia="zh-TW"/>
        </w:rPr>
        <w:t>8</w:t>
      </w:r>
      <w:r w:rsidRPr="00EB12B8">
        <w:rPr>
          <w:rFonts w:ascii="Times New Roman" w:eastAsia="標楷體" w:hAnsi="Times New Roman" w:cs="Times New Roman"/>
          <w:lang w:eastAsia="zh-TW"/>
        </w:rPr>
        <w:t>年</w:t>
      </w:r>
      <w:r w:rsidR="00394792">
        <w:rPr>
          <w:rFonts w:ascii="Times New Roman" w:eastAsia="標楷體" w:hAnsi="Times New Roman" w:cs="Times New Roman" w:hint="eastAsia"/>
          <w:lang w:eastAsia="zh-TW"/>
        </w:rPr>
        <w:t>7</w:t>
      </w:r>
      <w:r w:rsidRPr="00EB12B8">
        <w:rPr>
          <w:rFonts w:ascii="Times New Roman" w:eastAsia="標楷體" w:hAnsi="Times New Roman" w:cs="Times New Roman"/>
          <w:lang w:eastAsia="zh-TW"/>
        </w:rPr>
        <w:t>月</w:t>
      </w:r>
      <w:r w:rsidR="006748FC">
        <w:rPr>
          <w:rFonts w:ascii="Times New Roman" w:eastAsia="標楷體" w:hAnsi="Times New Roman" w:cs="Times New Roman" w:hint="eastAsia"/>
          <w:lang w:eastAsia="zh-TW"/>
        </w:rPr>
        <w:t>2</w:t>
      </w:r>
      <w:r w:rsidR="007E4422">
        <w:rPr>
          <w:rFonts w:ascii="Times New Roman" w:eastAsia="標楷體" w:hAnsi="Times New Roman" w:cs="Times New Roman" w:hint="eastAsia"/>
          <w:lang w:eastAsia="zh-TW"/>
        </w:rPr>
        <w:t>6</w:t>
      </w:r>
      <w:r w:rsidRPr="00EB12B8">
        <w:rPr>
          <w:rFonts w:ascii="Times New Roman" w:eastAsia="標楷體" w:hAnsi="Times New Roman" w:cs="Times New Roman"/>
          <w:lang w:eastAsia="zh-TW"/>
        </w:rPr>
        <w:t>日開始發行，至</w:t>
      </w:r>
      <w:r w:rsidRPr="00EB12B8">
        <w:rPr>
          <w:rFonts w:ascii="Times New Roman" w:eastAsia="標楷體" w:hAnsi="Times New Roman" w:cs="Times New Roman"/>
          <w:lang w:eastAsia="zh-TW"/>
        </w:rPr>
        <w:t>11</w:t>
      </w:r>
      <w:r w:rsidR="00AD791C" w:rsidRPr="00EB12B8">
        <w:rPr>
          <w:rFonts w:ascii="Times New Roman" w:eastAsia="標楷體" w:hAnsi="Times New Roman" w:cs="Times New Roman"/>
          <w:lang w:eastAsia="zh-TW"/>
        </w:rPr>
        <w:t>3</w:t>
      </w:r>
      <w:r w:rsidRPr="00EB12B8">
        <w:rPr>
          <w:rFonts w:ascii="Times New Roman" w:eastAsia="標楷體" w:hAnsi="Times New Roman" w:cs="Times New Roman"/>
          <w:lang w:eastAsia="zh-TW"/>
        </w:rPr>
        <w:t>年</w:t>
      </w:r>
      <w:r w:rsidR="00394792">
        <w:rPr>
          <w:rFonts w:ascii="Times New Roman" w:eastAsia="標楷體" w:hAnsi="Times New Roman" w:cs="Times New Roman" w:hint="eastAsia"/>
          <w:lang w:eastAsia="zh-TW"/>
        </w:rPr>
        <w:t>7</w:t>
      </w:r>
      <w:r w:rsidR="00394792" w:rsidRPr="00EB12B8">
        <w:rPr>
          <w:rFonts w:ascii="Times New Roman" w:eastAsia="標楷體" w:hAnsi="Times New Roman" w:cs="Times New Roman"/>
          <w:lang w:eastAsia="zh-TW"/>
        </w:rPr>
        <w:t>月</w:t>
      </w:r>
      <w:r w:rsidR="006748FC">
        <w:rPr>
          <w:rFonts w:ascii="Times New Roman" w:eastAsia="標楷體" w:hAnsi="Times New Roman" w:cs="Times New Roman" w:hint="eastAsia"/>
          <w:lang w:eastAsia="zh-TW"/>
        </w:rPr>
        <w:t>2</w:t>
      </w:r>
      <w:r w:rsidR="007E4422">
        <w:rPr>
          <w:rFonts w:ascii="Times New Roman" w:eastAsia="標楷體" w:hAnsi="Times New Roman" w:cs="Times New Roman" w:hint="eastAsia"/>
          <w:lang w:eastAsia="zh-TW"/>
        </w:rPr>
        <w:t>6</w:t>
      </w:r>
      <w:r w:rsidR="00394792" w:rsidRPr="00EB12B8">
        <w:rPr>
          <w:rFonts w:ascii="Times New Roman" w:eastAsia="標楷體" w:hAnsi="Times New Roman" w:cs="Times New Roman"/>
          <w:lang w:eastAsia="zh-TW"/>
        </w:rPr>
        <w:t>日</w:t>
      </w:r>
      <w:r w:rsidRPr="00EB12B8">
        <w:rPr>
          <w:rFonts w:ascii="Times New Roman" w:eastAsia="標楷體" w:hAnsi="Times New Roman" w:cs="Times New Roman"/>
          <w:lang w:eastAsia="zh-TW"/>
        </w:rPr>
        <w:t>到期</w:t>
      </w:r>
      <w:r w:rsidRPr="004402A3">
        <w:rPr>
          <w:rFonts w:ascii="標楷體" w:eastAsia="標楷體" w:hAnsi="標楷體"/>
          <w:lang w:eastAsia="zh-TW"/>
        </w:rPr>
        <w:t>。</w:t>
      </w:r>
    </w:p>
    <w:p w:rsidR="00C9450E" w:rsidRPr="00EB12B8" w:rsidRDefault="001E508D" w:rsidP="006748FC">
      <w:pPr>
        <w:pStyle w:val="a3"/>
        <w:spacing w:line="276" w:lineRule="auto"/>
        <w:ind w:left="1680" w:hangingChars="700" w:hanging="1680"/>
        <w:jc w:val="both"/>
        <w:rPr>
          <w:rFonts w:ascii="Times New Roman" w:eastAsia="標楷體" w:hAnsi="Times New Roman" w:cs="Times New Roman"/>
          <w:lang w:eastAsia="zh-TW"/>
        </w:rPr>
      </w:pPr>
      <w:r w:rsidRPr="00EB12B8">
        <w:rPr>
          <w:rFonts w:ascii="Times New Roman" w:eastAsia="標楷體" w:hAnsi="Times New Roman" w:cs="Times New Roman"/>
          <w:lang w:eastAsia="zh-TW"/>
        </w:rPr>
        <w:t>六、票面利率：固定年利率</w:t>
      </w:r>
      <w:r w:rsidR="00EA4CC1" w:rsidRPr="00EA4CC1">
        <w:rPr>
          <w:rFonts w:ascii="Times New Roman" w:eastAsia="標楷體" w:hAnsi="Times New Roman" w:cs="Times New Roman"/>
          <w:lang w:eastAsia="zh-TW"/>
        </w:rPr>
        <w:t>1.02</w:t>
      </w:r>
      <w:r w:rsidRPr="00EA4CC1">
        <w:rPr>
          <w:rFonts w:ascii="Times New Roman" w:eastAsia="標楷體" w:hAnsi="Times New Roman" w:cs="Times New Roman"/>
          <w:lang w:eastAsia="zh-TW"/>
        </w:rPr>
        <w:t>％</w:t>
      </w:r>
      <w:r w:rsidRPr="00EB12B8">
        <w:rPr>
          <w:rFonts w:ascii="Times New Roman" w:eastAsia="標楷體" w:hAnsi="Times New Roman" w:cs="Times New Roman"/>
          <w:lang w:eastAsia="zh-TW"/>
        </w:rPr>
        <w:t>。</w:t>
      </w:r>
    </w:p>
    <w:p w:rsidR="00C9450E" w:rsidRPr="00AD791C" w:rsidRDefault="001E508D" w:rsidP="006748FC">
      <w:pPr>
        <w:pStyle w:val="a3"/>
        <w:spacing w:line="276" w:lineRule="auto"/>
        <w:ind w:left="1680" w:hangingChars="700" w:hanging="1680"/>
        <w:jc w:val="both"/>
        <w:rPr>
          <w:rFonts w:ascii="標楷體" w:eastAsia="標楷體" w:hAnsi="標楷體"/>
          <w:lang w:eastAsia="zh-TW"/>
        </w:rPr>
      </w:pPr>
      <w:r w:rsidRPr="004402A3">
        <w:rPr>
          <w:rFonts w:ascii="標楷體" w:eastAsia="標楷體" w:hAnsi="標楷體"/>
          <w:lang w:eastAsia="zh-TW"/>
        </w:rPr>
        <w:t>七、還本方式：本公司債</w:t>
      </w:r>
      <w:r w:rsidR="00436A20">
        <w:rPr>
          <w:rFonts w:ascii="標楷體" w:eastAsia="標楷體" w:hAnsi="標楷體" w:hint="eastAsia"/>
          <w:lang w:eastAsia="zh-TW"/>
        </w:rPr>
        <w:t>自發行日起</w:t>
      </w:r>
      <w:r w:rsidRPr="004402A3">
        <w:rPr>
          <w:rFonts w:ascii="標楷體" w:eastAsia="標楷體" w:hAnsi="標楷體"/>
          <w:lang w:eastAsia="zh-TW"/>
        </w:rPr>
        <w:t>到期一次還本。</w:t>
      </w:r>
    </w:p>
    <w:p w:rsidR="00C9450E" w:rsidRPr="00AD791C" w:rsidRDefault="001E508D" w:rsidP="006748FC">
      <w:pPr>
        <w:pStyle w:val="a3"/>
        <w:spacing w:line="276" w:lineRule="auto"/>
        <w:ind w:left="1920" w:hangingChars="800" w:hanging="1920"/>
        <w:jc w:val="both"/>
        <w:rPr>
          <w:rFonts w:ascii="標楷體" w:eastAsia="標楷體" w:hAnsi="標楷體"/>
          <w:lang w:eastAsia="zh-TW"/>
        </w:rPr>
      </w:pPr>
      <w:r w:rsidRPr="004402A3">
        <w:rPr>
          <w:rFonts w:ascii="標楷體" w:eastAsia="標楷體" w:hAnsi="標楷體"/>
          <w:lang w:eastAsia="zh-TW"/>
        </w:rPr>
        <w:t>八、計付息方式：本公司債自發行日起依票面利率，</w:t>
      </w:r>
      <w:r w:rsidRPr="00EA4CC1">
        <w:rPr>
          <w:rFonts w:ascii="標楷體" w:eastAsia="標楷體" w:hAnsi="標楷體"/>
          <w:lang w:eastAsia="zh-TW"/>
        </w:rPr>
        <w:t>每年單利計、付息一次</w:t>
      </w:r>
      <w:r w:rsidRPr="004402A3">
        <w:rPr>
          <w:rFonts w:ascii="標楷體" w:eastAsia="標楷體" w:hAnsi="標楷體"/>
          <w:lang w:eastAsia="zh-TW"/>
        </w:rPr>
        <w:t>。本公司債付息金額以每壹佰萬元為基礎計付至元為止，元以下四捨五入。本公司債還本付息日如為付款地銀行業停止營業日時，則於停止營業日之次一營業日給付本息，順延日數不另計付利息。如逾還本付息日領取本息者，亦不另計付利息。</w:t>
      </w:r>
    </w:p>
    <w:p w:rsidR="00AD791C" w:rsidRPr="004402A3" w:rsidRDefault="001E508D" w:rsidP="006748FC">
      <w:pPr>
        <w:pStyle w:val="a3"/>
        <w:spacing w:line="276" w:lineRule="auto"/>
        <w:ind w:left="1680" w:hangingChars="700" w:hanging="1680"/>
        <w:jc w:val="both"/>
        <w:rPr>
          <w:rFonts w:ascii="標楷體" w:eastAsia="標楷體" w:hAnsi="標楷體"/>
          <w:lang w:eastAsia="zh-TW"/>
        </w:rPr>
      </w:pPr>
      <w:r w:rsidRPr="004402A3">
        <w:rPr>
          <w:rFonts w:ascii="標楷體" w:eastAsia="標楷體" w:hAnsi="標楷體"/>
          <w:lang w:eastAsia="zh-TW"/>
        </w:rPr>
        <w:t>九、擔保方式：不適用。</w:t>
      </w:r>
    </w:p>
    <w:p w:rsidR="00AD791C" w:rsidRPr="004402A3" w:rsidRDefault="001E508D" w:rsidP="006748FC">
      <w:pPr>
        <w:pStyle w:val="a3"/>
        <w:spacing w:line="276" w:lineRule="auto"/>
        <w:ind w:left="1680" w:hangingChars="700" w:hanging="1680"/>
        <w:jc w:val="both"/>
        <w:rPr>
          <w:rFonts w:ascii="標楷體" w:eastAsia="標楷體" w:hAnsi="標楷體"/>
          <w:lang w:eastAsia="zh-TW"/>
        </w:rPr>
      </w:pPr>
      <w:r w:rsidRPr="004402A3">
        <w:rPr>
          <w:rFonts w:ascii="標楷體" w:eastAsia="標楷體" w:hAnsi="標楷體"/>
          <w:lang w:eastAsia="zh-TW"/>
        </w:rPr>
        <w:t>十、債券形式：本公司債採無實體方式發行，並洽臺灣集中保管結算所股份有限公司登錄。</w:t>
      </w:r>
    </w:p>
    <w:p w:rsidR="00C9450E" w:rsidRPr="00531EE5" w:rsidRDefault="001E508D" w:rsidP="006748FC">
      <w:pPr>
        <w:pStyle w:val="a3"/>
        <w:spacing w:line="276" w:lineRule="auto"/>
        <w:ind w:left="1680" w:hangingChars="700" w:hanging="1680"/>
        <w:jc w:val="both"/>
        <w:rPr>
          <w:rFonts w:ascii="標楷體" w:eastAsia="標楷體" w:hAnsi="標楷體"/>
          <w:lang w:eastAsia="zh-TW"/>
        </w:rPr>
      </w:pPr>
      <w:r w:rsidRPr="004402A3">
        <w:rPr>
          <w:rFonts w:ascii="標楷體" w:eastAsia="標楷體" w:hAnsi="標楷體"/>
          <w:lang w:eastAsia="zh-TW"/>
        </w:rPr>
        <w:t>十一、受託人：本公司</w:t>
      </w:r>
      <w:r w:rsidRPr="00531EE5">
        <w:rPr>
          <w:rFonts w:ascii="標楷體" w:eastAsia="標楷體" w:hAnsi="標楷體"/>
          <w:lang w:eastAsia="zh-TW"/>
        </w:rPr>
        <w:t>債由</w:t>
      </w:r>
      <w:r w:rsidR="00F37068" w:rsidRPr="00531EE5">
        <w:rPr>
          <w:rFonts w:ascii="標楷體" w:eastAsia="標楷體" w:hAnsi="標楷體" w:hint="eastAsia"/>
          <w:lang w:eastAsia="zh-TW"/>
        </w:rPr>
        <w:t>合作金庫商業銀行股份有限公司</w:t>
      </w:r>
      <w:r w:rsidRPr="00531EE5">
        <w:rPr>
          <w:rFonts w:ascii="標楷體" w:eastAsia="標楷體" w:hAnsi="標楷體"/>
          <w:lang w:eastAsia="zh-TW"/>
        </w:rPr>
        <w:t>為債權人之受託人，代表債權人之利益，為債權人取得並實行公司債提供之擔保權利，行使查核及監督本公司履行本公司債發行事項之權責，並訂立受託契約。凡持有本公司債之債權人，不論係於發行時認購或中途買受者，對於本公司與受託人間受託契約規定受託人之權利義務及本公司債發行辦法，均予同意承認並授與有關受託事項之全權代理，此項授權並不得中途撤銷，至於受託契約內容，債權人得在規定營業時間內隨時至本公司或受託人營業處所查閱。</w:t>
      </w:r>
    </w:p>
    <w:p w:rsidR="00C9450E" w:rsidRPr="00AD791C" w:rsidRDefault="001E508D" w:rsidP="006748FC">
      <w:pPr>
        <w:pStyle w:val="a3"/>
        <w:spacing w:line="276" w:lineRule="auto"/>
        <w:ind w:left="2880" w:hangingChars="1200" w:hanging="2880"/>
        <w:jc w:val="both"/>
        <w:rPr>
          <w:rFonts w:ascii="標楷體" w:eastAsia="標楷體" w:hAnsi="標楷體"/>
          <w:lang w:eastAsia="zh-TW"/>
        </w:rPr>
      </w:pPr>
      <w:r w:rsidRPr="00531EE5">
        <w:rPr>
          <w:rFonts w:ascii="標楷體" w:eastAsia="標楷體" w:hAnsi="標楷體"/>
          <w:lang w:eastAsia="zh-TW"/>
        </w:rPr>
        <w:t>十二、還本付息代理機構：本公司債委託</w:t>
      </w:r>
      <w:r w:rsidR="00F37068" w:rsidRPr="00531EE5">
        <w:rPr>
          <w:rFonts w:ascii="標楷體" w:eastAsia="標楷體" w:hAnsi="標楷體" w:hint="eastAsia"/>
          <w:lang w:eastAsia="zh-TW"/>
        </w:rPr>
        <w:t>合作金庫商業銀行股份有限公司</w:t>
      </w:r>
      <w:r w:rsidRPr="00531EE5">
        <w:rPr>
          <w:rFonts w:ascii="標楷體" w:eastAsia="標楷體" w:hAnsi="標楷體"/>
          <w:lang w:eastAsia="zh-TW"/>
        </w:rPr>
        <w:t>代</w:t>
      </w:r>
      <w:r w:rsidRPr="004402A3">
        <w:rPr>
          <w:rFonts w:ascii="標楷體" w:eastAsia="標楷體" w:hAnsi="標楷體"/>
          <w:lang w:eastAsia="zh-TW"/>
        </w:rPr>
        <w:t>理還本付息事宜，並依臺灣集中保管結算所股份有限公司提供之債券所有人名冊資料，辦理還本付息款項劃撥作業及依法扣繳稅捐事宜。</w:t>
      </w:r>
    </w:p>
    <w:p w:rsidR="000F68E0" w:rsidRPr="004402A3" w:rsidRDefault="00205D06" w:rsidP="006748FC">
      <w:pPr>
        <w:pStyle w:val="a3"/>
        <w:spacing w:line="276" w:lineRule="auto"/>
        <w:ind w:left="1920" w:hangingChars="800" w:hanging="1920"/>
        <w:jc w:val="both"/>
        <w:rPr>
          <w:rFonts w:ascii="標楷體" w:eastAsia="標楷體" w:hAnsi="標楷體"/>
          <w:lang w:eastAsia="zh-TW"/>
        </w:rPr>
      </w:pPr>
      <w:r>
        <w:rPr>
          <w:rFonts w:ascii="標楷體" w:eastAsia="標楷體" w:hAnsi="標楷體"/>
          <w:lang w:eastAsia="zh-TW"/>
        </w:rPr>
        <w:t>十三、承銷方式：</w:t>
      </w:r>
      <w:r w:rsidR="001E508D" w:rsidRPr="004402A3">
        <w:rPr>
          <w:rFonts w:ascii="標楷體" w:eastAsia="標楷體" w:hAnsi="標楷體"/>
          <w:lang w:eastAsia="zh-TW"/>
        </w:rPr>
        <w:t>委託承銷商對外公開承銷，並委任</w:t>
      </w:r>
      <w:r w:rsidR="00AD791C" w:rsidRPr="004402A3">
        <w:rPr>
          <w:rFonts w:ascii="標楷體" w:eastAsia="標楷體" w:hAnsi="標楷體" w:hint="eastAsia"/>
          <w:lang w:eastAsia="zh-TW"/>
        </w:rPr>
        <w:t>台新綜合證券</w:t>
      </w:r>
      <w:r w:rsidR="001E508D" w:rsidRPr="004402A3">
        <w:rPr>
          <w:rFonts w:ascii="標楷體" w:eastAsia="標楷體" w:hAnsi="標楷體"/>
          <w:lang w:eastAsia="zh-TW"/>
        </w:rPr>
        <w:t>股份有限公司為主辦承銷商。</w:t>
      </w:r>
    </w:p>
    <w:p w:rsidR="00C9450E" w:rsidRPr="00AD791C" w:rsidRDefault="001E508D" w:rsidP="006748FC">
      <w:pPr>
        <w:pStyle w:val="a3"/>
        <w:spacing w:line="276" w:lineRule="auto"/>
        <w:ind w:left="1920" w:hangingChars="800" w:hanging="1920"/>
        <w:jc w:val="both"/>
        <w:rPr>
          <w:rFonts w:ascii="標楷體" w:eastAsia="標楷體" w:hAnsi="標楷體"/>
          <w:lang w:eastAsia="zh-TW"/>
        </w:rPr>
      </w:pPr>
      <w:r w:rsidRPr="004402A3">
        <w:rPr>
          <w:rFonts w:ascii="標楷體" w:eastAsia="標楷體" w:hAnsi="標楷體"/>
          <w:lang w:eastAsia="zh-TW"/>
        </w:rPr>
        <w:t>十四、通知方式：有關本公司債應通知債權人之事項，除法令另有規定者外，均於公開資</w:t>
      </w:r>
      <w:r w:rsidRPr="00AD791C">
        <w:rPr>
          <w:rFonts w:ascii="標楷體" w:eastAsia="標楷體" w:hAnsi="標楷體"/>
          <w:lang w:eastAsia="zh-TW"/>
        </w:rPr>
        <w:t>訊觀測站</w:t>
      </w:r>
      <w:r w:rsidRPr="00EB12B8">
        <w:rPr>
          <w:rFonts w:ascii="Times New Roman" w:eastAsia="標楷體" w:hAnsi="Times New Roman" w:cs="Times New Roman"/>
          <w:lang w:eastAsia="zh-TW"/>
        </w:rPr>
        <w:t>（</w:t>
      </w:r>
      <w:r w:rsidRPr="00EB12B8">
        <w:rPr>
          <w:rFonts w:ascii="Times New Roman" w:eastAsia="標楷體" w:hAnsi="Times New Roman" w:cs="Times New Roman"/>
          <w:lang w:eastAsia="zh-TW"/>
        </w:rPr>
        <w:t>http:// mops.twse.com.tw</w:t>
      </w:r>
      <w:r w:rsidRPr="00EB12B8">
        <w:rPr>
          <w:rFonts w:ascii="Times New Roman" w:eastAsia="標楷體" w:hAnsi="Times New Roman" w:cs="Times New Roman"/>
          <w:lang w:eastAsia="zh-TW"/>
        </w:rPr>
        <w:t>）</w:t>
      </w:r>
      <w:r w:rsidRPr="00AD791C">
        <w:rPr>
          <w:rFonts w:ascii="標楷體" w:eastAsia="標楷體" w:hAnsi="標楷體"/>
          <w:lang w:eastAsia="zh-TW"/>
        </w:rPr>
        <w:t>公告之。</w:t>
      </w:r>
    </w:p>
    <w:p w:rsidR="00C9450E" w:rsidRPr="00AD791C" w:rsidRDefault="001E508D" w:rsidP="006748FC">
      <w:pPr>
        <w:pStyle w:val="a3"/>
        <w:spacing w:line="276" w:lineRule="auto"/>
        <w:ind w:left="1920" w:hangingChars="800" w:hanging="1920"/>
        <w:jc w:val="both"/>
        <w:rPr>
          <w:rFonts w:ascii="標楷體" w:eastAsia="標楷體" w:hAnsi="標楷體"/>
          <w:lang w:eastAsia="zh-TW"/>
        </w:rPr>
      </w:pPr>
      <w:r w:rsidRPr="004402A3">
        <w:rPr>
          <w:rFonts w:ascii="標楷體" w:eastAsia="標楷體" w:hAnsi="標楷體"/>
          <w:lang w:eastAsia="zh-TW"/>
        </w:rPr>
        <w:t>十五、銷售對象：僅限財團法人中華民國證券櫃檯買賣中心外幣計價國際債券管理規則所定之專業投資人。</w:t>
      </w:r>
    </w:p>
    <w:p w:rsidR="00205D06" w:rsidRDefault="00394792" w:rsidP="00CF6F55">
      <w:pPr>
        <w:pStyle w:val="a3"/>
        <w:tabs>
          <w:tab w:val="left" w:pos="4919"/>
        </w:tabs>
        <w:spacing w:before="92" w:line="802" w:lineRule="exact"/>
        <w:ind w:left="3479" w:right="3018"/>
        <w:rPr>
          <w:rFonts w:ascii="標楷體" w:eastAsia="標楷體" w:hAnsi="標楷體"/>
          <w:lang w:eastAsia="zh-TW"/>
        </w:rPr>
      </w:pPr>
      <w:r>
        <w:rPr>
          <w:rFonts w:ascii="標楷體" w:eastAsia="標楷體" w:hAnsi="標楷體" w:hint="eastAsia"/>
          <w:lang w:eastAsia="zh-TW"/>
        </w:rPr>
        <w:t>中磊電子股份有限公司</w:t>
      </w:r>
    </w:p>
    <w:p w:rsidR="00205D06" w:rsidRPr="005508CB" w:rsidRDefault="001E508D" w:rsidP="005508CB">
      <w:pPr>
        <w:pStyle w:val="a3"/>
        <w:tabs>
          <w:tab w:val="left" w:pos="4919"/>
        </w:tabs>
        <w:spacing w:before="92" w:line="802" w:lineRule="exact"/>
        <w:ind w:left="3479" w:right="3018"/>
        <w:rPr>
          <w:rFonts w:ascii="標楷體" w:eastAsia="標楷體" w:hAnsi="標楷體"/>
          <w:w w:val="95"/>
          <w:lang w:eastAsia="zh-TW"/>
        </w:rPr>
      </w:pPr>
      <w:r w:rsidRPr="00AD791C">
        <w:rPr>
          <w:rFonts w:ascii="標楷體" w:eastAsia="標楷體" w:hAnsi="標楷體"/>
          <w:lang w:eastAsia="zh-TW"/>
        </w:rPr>
        <w:t>董事長</w:t>
      </w:r>
      <w:r w:rsidRPr="00AD791C">
        <w:rPr>
          <w:rFonts w:ascii="標楷體" w:eastAsia="標楷體" w:hAnsi="標楷體"/>
          <w:lang w:eastAsia="zh-TW"/>
        </w:rPr>
        <w:tab/>
      </w:r>
      <w:r w:rsidR="00394792" w:rsidRPr="00394792">
        <w:rPr>
          <w:rFonts w:ascii="標楷體" w:eastAsia="標楷體" w:hAnsi="標楷體" w:hint="eastAsia"/>
          <w:w w:val="95"/>
          <w:lang w:eastAsia="zh-TW"/>
        </w:rPr>
        <w:t>王伯元</w:t>
      </w:r>
      <w:r w:rsidR="00394792" w:rsidRPr="00394792">
        <w:rPr>
          <w:rFonts w:ascii="標楷體" w:eastAsia="標楷體" w:hAnsi="標楷體"/>
          <w:w w:val="95"/>
          <w:lang w:eastAsia="zh-TW"/>
        </w:rPr>
        <w:tab/>
      </w:r>
    </w:p>
    <w:p w:rsidR="00205D06" w:rsidRDefault="00205D06">
      <w:pPr>
        <w:pStyle w:val="a3"/>
        <w:tabs>
          <w:tab w:val="left" w:pos="957"/>
          <w:tab w:val="left" w:pos="1795"/>
          <w:tab w:val="left" w:pos="2632"/>
          <w:tab w:val="left" w:pos="3590"/>
          <w:tab w:val="left" w:pos="4307"/>
          <w:tab w:val="left" w:pos="5025"/>
          <w:tab w:val="left" w:pos="5863"/>
          <w:tab w:val="left" w:pos="6820"/>
          <w:tab w:val="left" w:pos="7658"/>
          <w:tab w:val="left" w:pos="8615"/>
          <w:tab w:val="left" w:pos="9453"/>
        </w:tabs>
        <w:spacing w:before="168" w:line="240" w:lineRule="auto"/>
        <w:rPr>
          <w:rFonts w:ascii="標楷體" w:eastAsia="標楷體" w:hAnsi="標楷體"/>
          <w:lang w:eastAsia="zh-TW"/>
        </w:rPr>
      </w:pPr>
    </w:p>
    <w:p w:rsidR="00CF6F55" w:rsidRDefault="00CF6F55">
      <w:pPr>
        <w:pStyle w:val="a3"/>
        <w:tabs>
          <w:tab w:val="left" w:pos="957"/>
          <w:tab w:val="left" w:pos="1795"/>
          <w:tab w:val="left" w:pos="2632"/>
          <w:tab w:val="left" w:pos="3590"/>
          <w:tab w:val="left" w:pos="4307"/>
          <w:tab w:val="left" w:pos="5025"/>
          <w:tab w:val="left" w:pos="5863"/>
          <w:tab w:val="left" w:pos="6820"/>
          <w:tab w:val="left" w:pos="7658"/>
          <w:tab w:val="left" w:pos="8615"/>
          <w:tab w:val="left" w:pos="9453"/>
        </w:tabs>
        <w:spacing w:before="168" w:line="240" w:lineRule="auto"/>
        <w:rPr>
          <w:rFonts w:ascii="標楷體" w:eastAsia="標楷體" w:hAnsi="標楷體"/>
          <w:lang w:eastAsia="zh-TW"/>
        </w:rPr>
      </w:pPr>
    </w:p>
    <w:p w:rsidR="00C9450E" w:rsidRPr="00145711" w:rsidRDefault="001E508D">
      <w:pPr>
        <w:pStyle w:val="a3"/>
        <w:tabs>
          <w:tab w:val="left" w:pos="957"/>
          <w:tab w:val="left" w:pos="1795"/>
          <w:tab w:val="left" w:pos="2632"/>
          <w:tab w:val="left" w:pos="3590"/>
          <w:tab w:val="left" w:pos="4307"/>
          <w:tab w:val="left" w:pos="5025"/>
          <w:tab w:val="left" w:pos="5863"/>
          <w:tab w:val="left" w:pos="6820"/>
          <w:tab w:val="left" w:pos="7658"/>
          <w:tab w:val="left" w:pos="8615"/>
          <w:tab w:val="left" w:pos="9453"/>
        </w:tabs>
        <w:spacing w:before="168" w:line="240" w:lineRule="auto"/>
        <w:rPr>
          <w:rFonts w:ascii="Times New Roman" w:eastAsia="標楷體" w:hAnsi="Times New Roman" w:cs="Times New Roman"/>
          <w:lang w:eastAsia="zh-TW"/>
        </w:rPr>
      </w:pPr>
      <w:r w:rsidRPr="00145711">
        <w:rPr>
          <w:rFonts w:ascii="Times New Roman" w:eastAsia="標楷體" w:hAnsi="Times New Roman" w:cs="Times New Roman"/>
          <w:lang w:eastAsia="zh-TW"/>
        </w:rPr>
        <w:t>中</w:t>
      </w:r>
      <w:r w:rsidRPr="00145711">
        <w:rPr>
          <w:rFonts w:ascii="Times New Roman" w:eastAsia="標楷體" w:hAnsi="Times New Roman" w:cs="Times New Roman"/>
          <w:lang w:eastAsia="zh-TW"/>
        </w:rPr>
        <w:tab/>
      </w:r>
      <w:r w:rsidRPr="00145711">
        <w:rPr>
          <w:rFonts w:ascii="Times New Roman" w:eastAsia="標楷體" w:hAnsi="Times New Roman" w:cs="Times New Roman"/>
          <w:lang w:eastAsia="zh-TW"/>
        </w:rPr>
        <w:t>華</w:t>
      </w:r>
      <w:r w:rsidRPr="00145711">
        <w:rPr>
          <w:rFonts w:ascii="Times New Roman" w:eastAsia="標楷體" w:hAnsi="Times New Roman" w:cs="Times New Roman"/>
          <w:lang w:eastAsia="zh-TW"/>
        </w:rPr>
        <w:tab/>
      </w:r>
      <w:r w:rsidRPr="00145711">
        <w:rPr>
          <w:rFonts w:ascii="Times New Roman" w:eastAsia="標楷體" w:hAnsi="Times New Roman" w:cs="Times New Roman"/>
          <w:lang w:eastAsia="zh-TW"/>
        </w:rPr>
        <w:t>民</w:t>
      </w:r>
      <w:r w:rsidRPr="00145711">
        <w:rPr>
          <w:rFonts w:ascii="Times New Roman" w:eastAsia="標楷體" w:hAnsi="Times New Roman" w:cs="Times New Roman"/>
          <w:lang w:eastAsia="zh-TW"/>
        </w:rPr>
        <w:tab/>
      </w:r>
      <w:r w:rsidRPr="00145711">
        <w:rPr>
          <w:rFonts w:ascii="Times New Roman" w:eastAsia="標楷體" w:hAnsi="Times New Roman" w:cs="Times New Roman"/>
          <w:lang w:eastAsia="zh-TW"/>
        </w:rPr>
        <w:t>國</w:t>
      </w:r>
      <w:r w:rsidRPr="00145711">
        <w:rPr>
          <w:rFonts w:ascii="Times New Roman" w:eastAsia="標楷體" w:hAnsi="Times New Roman" w:cs="Times New Roman"/>
          <w:lang w:eastAsia="zh-TW"/>
        </w:rPr>
        <w:tab/>
        <w:t>1</w:t>
      </w:r>
      <w:r w:rsidRPr="00145711">
        <w:rPr>
          <w:rFonts w:ascii="Times New Roman" w:eastAsia="標楷體" w:hAnsi="Times New Roman" w:cs="Times New Roman"/>
          <w:lang w:eastAsia="zh-TW"/>
        </w:rPr>
        <w:tab/>
        <w:t>0</w:t>
      </w:r>
      <w:r w:rsidRPr="00145711">
        <w:rPr>
          <w:rFonts w:ascii="Times New Roman" w:eastAsia="標楷體" w:hAnsi="Times New Roman" w:cs="Times New Roman"/>
          <w:lang w:eastAsia="zh-TW"/>
        </w:rPr>
        <w:tab/>
      </w:r>
      <w:r w:rsidR="002C6574" w:rsidRPr="00145711">
        <w:rPr>
          <w:rFonts w:ascii="Times New Roman" w:eastAsia="標楷體" w:hAnsi="Times New Roman" w:cs="Times New Roman"/>
          <w:lang w:eastAsia="zh-TW"/>
        </w:rPr>
        <w:t>8</w:t>
      </w:r>
      <w:r w:rsidRPr="00145711">
        <w:rPr>
          <w:rFonts w:ascii="Times New Roman" w:eastAsia="標楷體" w:hAnsi="Times New Roman" w:cs="Times New Roman"/>
          <w:lang w:eastAsia="zh-TW"/>
        </w:rPr>
        <w:tab/>
      </w:r>
      <w:r w:rsidRPr="00145711">
        <w:rPr>
          <w:rFonts w:ascii="Times New Roman" w:eastAsia="標楷體" w:hAnsi="Times New Roman" w:cs="Times New Roman"/>
          <w:lang w:eastAsia="zh-TW"/>
        </w:rPr>
        <w:t>年</w:t>
      </w:r>
      <w:r w:rsidRPr="00145711">
        <w:rPr>
          <w:rFonts w:ascii="Times New Roman" w:eastAsia="標楷體" w:hAnsi="Times New Roman" w:cs="Times New Roman"/>
          <w:lang w:eastAsia="zh-TW"/>
        </w:rPr>
        <w:tab/>
      </w:r>
      <w:r w:rsidR="00145711" w:rsidRPr="00145711">
        <w:rPr>
          <w:rFonts w:ascii="Times New Roman" w:eastAsia="標楷體" w:hAnsi="Times New Roman" w:cs="Times New Roman"/>
          <w:lang w:eastAsia="zh-TW"/>
        </w:rPr>
        <w:t>7</w:t>
      </w:r>
      <w:r w:rsidRPr="00145711">
        <w:rPr>
          <w:rFonts w:ascii="Times New Roman" w:eastAsia="標楷體" w:hAnsi="Times New Roman" w:cs="Times New Roman"/>
          <w:lang w:eastAsia="zh-TW"/>
        </w:rPr>
        <w:tab/>
      </w:r>
      <w:r w:rsidRPr="00145711">
        <w:rPr>
          <w:rFonts w:ascii="Times New Roman" w:eastAsia="標楷體" w:hAnsi="Times New Roman" w:cs="Times New Roman"/>
          <w:lang w:eastAsia="zh-TW"/>
        </w:rPr>
        <w:t>月</w:t>
      </w:r>
      <w:r w:rsidRPr="00145711">
        <w:rPr>
          <w:rFonts w:ascii="Times New Roman" w:eastAsia="標楷體" w:hAnsi="Times New Roman" w:cs="Times New Roman"/>
          <w:lang w:eastAsia="zh-TW"/>
        </w:rPr>
        <w:tab/>
      </w:r>
      <w:r w:rsidR="00145711" w:rsidRPr="00145711">
        <w:rPr>
          <w:rFonts w:ascii="Times New Roman" w:eastAsia="標楷體" w:hAnsi="Times New Roman" w:cs="Times New Roman"/>
          <w:lang w:eastAsia="zh-TW"/>
        </w:rPr>
        <w:t>18</w:t>
      </w:r>
      <w:r w:rsidRPr="00145711">
        <w:rPr>
          <w:rFonts w:ascii="Times New Roman" w:eastAsia="標楷體" w:hAnsi="Times New Roman" w:cs="Times New Roman"/>
          <w:lang w:eastAsia="zh-TW"/>
        </w:rPr>
        <w:tab/>
      </w:r>
      <w:r w:rsidRPr="00145711">
        <w:rPr>
          <w:rFonts w:ascii="Times New Roman" w:eastAsia="標楷體" w:hAnsi="Times New Roman" w:cs="Times New Roman"/>
          <w:lang w:eastAsia="zh-TW"/>
        </w:rPr>
        <w:t>日</w:t>
      </w:r>
    </w:p>
    <w:sectPr w:rsidR="00C9450E" w:rsidRPr="00145711" w:rsidSect="00EC10A1">
      <w:type w:val="continuous"/>
      <w:pgSz w:w="11900" w:h="16840"/>
      <w:pgMar w:top="36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B3" w:rsidRDefault="00436DB3" w:rsidP="00AD791C">
      <w:r>
        <w:separator/>
      </w:r>
    </w:p>
  </w:endnote>
  <w:endnote w:type="continuationSeparator" w:id="0">
    <w:p w:rsidR="00436DB3" w:rsidRDefault="00436DB3" w:rsidP="00AD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B3" w:rsidRDefault="00436DB3" w:rsidP="00AD791C">
      <w:r>
        <w:separator/>
      </w:r>
    </w:p>
  </w:footnote>
  <w:footnote w:type="continuationSeparator" w:id="0">
    <w:p w:rsidR="00436DB3" w:rsidRDefault="00436DB3" w:rsidP="00AD7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0E"/>
    <w:rsid w:val="00027CED"/>
    <w:rsid w:val="000B7567"/>
    <w:rsid w:val="000F68E0"/>
    <w:rsid w:val="00145711"/>
    <w:rsid w:val="001E508D"/>
    <w:rsid w:val="00205D06"/>
    <w:rsid w:val="00217D2E"/>
    <w:rsid w:val="00241870"/>
    <w:rsid w:val="002C6574"/>
    <w:rsid w:val="003075EA"/>
    <w:rsid w:val="00394792"/>
    <w:rsid w:val="003C121E"/>
    <w:rsid w:val="00427F25"/>
    <w:rsid w:val="00436425"/>
    <w:rsid w:val="00436A20"/>
    <w:rsid w:val="00436DB3"/>
    <w:rsid w:val="004402A3"/>
    <w:rsid w:val="004D264A"/>
    <w:rsid w:val="00531EE5"/>
    <w:rsid w:val="005508CB"/>
    <w:rsid w:val="00573365"/>
    <w:rsid w:val="00631291"/>
    <w:rsid w:val="00660EAB"/>
    <w:rsid w:val="00666465"/>
    <w:rsid w:val="006748FC"/>
    <w:rsid w:val="006931EC"/>
    <w:rsid w:val="006B6D5C"/>
    <w:rsid w:val="007811F1"/>
    <w:rsid w:val="007C393B"/>
    <w:rsid w:val="007D039E"/>
    <w:rsid w:val="007E4422"/>
    <w:rsid w:val="007E4834"/>
    <w:rsid w:val="0084627F"/>
    <w:rsid w:val="00850FA1"/>
    <w:rsid w:val="00881D9E"/>
    <w:rsid w:val="009D70D2"/>
    <w:rsid w:val="00A21798"/>
    <w:rsid w:val="00A61A5A"/>
    <w:rsid w:val="00A66B00"/>
    <w:rsid w:val="00AC6DCA"/>
    <w:rsid w:val="00AD791C"/>
    <w:rsid w:val="00AE7403"/>
    <w:rsid w:val="00AF6E85"/>
    <w:rsid w:val="00B24205"/>
    <w:rsid w:val="00B558A5"/>
    <w:rsid w:val="00BD10FE"/>
    <w:rsid w:val="00BD3234"/>
    <w:rsid w:val="00BE3E7F"/>
    <w:rsid w:val="00C9450E"/>
    <w:rsid w:val="00CE4A40"/>
    <w:rsid w:val="00CF6F55"/>
    <w:rsid w:val="00D664D0"/>
    <w:rsid w:val="00D70D35"/>
    <w:rsid w:val="00DC59A9"/>
    <w:rsid w:val="00E26DC7"/>
    <w:rsid w:val="00E50F0A"/>
    <w:rsid w:val="00EA4CC1"/>
    <w:rsid w:val="00EB12B8"/>
    <w:rsid w:val="00EC10A1"/>
    <w:rsid w:val="00F37068"/>
    <w:rsid w:val="00F84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39A4D-C2E8-4E83-89FA-EF6D5011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10A1"/>
    <w:pPr>
      <w:widowControl w:val="0"/>
      <w:autoSpaceDE w:val="0"/>
      <w:autoSpaceDN w:val="0"/>
    </w:pPr>
    <w:rPr>
      <w:rFonts w:ascii="細明體_HKSCS" w:eastAsia="細明體_HKSCS" w:hAnsi="細明體_HKSCS" w:cs="細明體_HKSCS"/>
      <w:sz w:val="22"/>
      <w:szCs w:val="22"/>
      <w:lang w:eastAsia="en-US"/>
    </w:rPr>
  </w:style>
  <w:style w:type="paragraph" w:styleId="1">
    <w:name w:val="heading 1"/>
    <w:basedOn w:val="a"/>
    <w:uiPriority w:val="1"/>
    <w:qFormat/>
    <w:rsid w:val="00EC10A1"/>
    <w:pPr>
      <w:spacing w:line="444" w:lineRule="exact"/>
      <w:ind w:left="1376" w:right="1423"/>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0A1"/>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sid w:val="00EC10A1"/>
    <w:pPr>
      <w:spacing w:line="312" w:lineRule="exact"/>
      <w:ind w:left="119"/>
    </w:pPr>
    <w:rPr>
      <w:sz w:val="24"/>
      <w:szCs w:val="24"/>
    </w:rPr>
  </w:style>
  <w:style w:type="paragraph" w:styleId="a4">
    <w:name w:val="List Paragraph"/>
    <w:basedOn w:val="a"/>
    <w:uiPriority w:val="1"/>
    <w:qFormat/>
    <w:rsid w:val="00EC10A1"/>
  </w:style>
  <w:style w:type="paragraph" w:customStyle="1" w:styleId="TableParagraph">
    <w:name w:val="Table Paragraph"/>
    <w:basedOn w:val="a"/>
    <w:uiPriority w:val="1"/>
    <w:qFormat/>
    <w:rsid w:val="00EC10A1"/>
  </w:style>
  <w:style w:type="paragraph" w:styleId="a5">
    <w:name w:val="header"/>
    <w:basedOn w:val="a"/>
    <w:link w:val="a6"/>
    <w:uiPriority w:val="99"/>
    <w:unhideWhenUsed/>
    <w:rsid w:val="00AD791C"/>
    <w:pPr>
      <w:tabs>
        <w:tab w:val="center" w:pos="4153"/>
        <w:tab w:val="right" w:pos="8306"/>
      </w:tabs>
      <w:snapToGrid w:val="0"/>
    </w:pPr>
    <w:rPr>
      <w:sz w:val="20"/>
      <w:szCs w:val="20"/>
    </w:rPr>
  </w:style>
  <w:style w:type="character" w:customStyle="1" w:styleId="a6">
    <w:name w:val="頁首 字元"/>
    <w:link w:val="a5"/>
    <w:uiPriority w:val="99"/>
    <w:rsid w:val="00AD791C"/>
    <w:rPr>
      <w:rFonts w:ascii="細明體_HKSCS" w:eastAsia="細明體_HKSCS" w:hAnsi="細明體_HKSCS" w:cs="細明體_HKSCS"/>
      <w:sz w:val="20"/>
      <w:szCs w:val="20"/>
    </w:rPr>
  </w:style>
  <w:style w:type="paragraph" w:styleId="a7">
    <w:name w:val="footer"/>
    <w:basedOn w:val="a"/>
    <w:link w:val="a8"/>
    <w:uiPriority w:val="99"/>
    <w:unhideWhenUsed/>
    <w:rsid w:val="00AD791C"/>
    <w:pPr>
      <w:tabs>
        <w:tab w:val="center" w:pos="4153"/>
        <w:tab w:val="right" w:pos="8306"/>
      </w:tabs>
      <w:snapToGrid w:val="0"/>
    </w:pPr>
    <w:rPr>
      <w:sz w:val="20"/>
      <w:szCs w:val="20"/>
    </w:rPr>
  </w:style>
  <w:style w:type="character" w:customStyle="1" w:styleId="a8">
    <w:name w:val="頁尾 字元"/>
    <w:link w:val="a7"/>
    <w:uiPriority w:val="99"/>
    <w:rsid w:val="00AD791C"/>
    <w:rPr>
      <w:rFonts w:ascii="細明體_HKSCS" w:eastAsia="細明體_HKSCS" w:hAnsi="細明體_HKSCS" w:cs="細明體_HKSCS"/>
      <w:sz w:val="20"/>
      <w:szCs w:val="20"/>
    </w:rPr>
  </w:style>
  <w:style w:type="paragraph" w:styleId="a9">
    <w:name w:val="Balloon Text"/>
    <w:basedOn w:val="a"/>
    <w:link w:val="aa"/>
    <w:uiPriority w:val="99"/>
    <w:semiHidden/>
    <w:unhideWhenUsed/>
    <w:rsid w:val="000F68E0"/>
    <w:rPr>
      <w:rFonts w:ascii="Cambria" w:eastAsia="新細明體" w:hAnsi="Cambria" w:cs="Times New Roman"/>
      <w:sz w:val="18"/>
      <w:szCs w:val="18"/>
    </w:rPr>
  </w:style>
  <w:style w:type="character" w:customStyle="1" w:styleId="aa">
    <w:name w:val="註解方塊文字 字元"/>
    <w:link w:val="a9"/>
    <w:uiPriority w:val="99"/>
    <w:semiHidden/>
    <w:rsid w:val="000F68E0"/>
    <w:rPr>
      <w:rFonts w:ascii="Cambria" w:eastAsia="新細明體" w:hAnsi="Cambria" w:cs="Times New Roman"/>
      <w:sz w:val="18"/>
      <w:szCs w:val="18"/>
    </w:rPr>
  </w:style>
  <w:style w:type="character" w:styleId="ab">
    <w:name w:val="annotation reference"/>
    <w:basedOn w:val="a0"/>
    <w:uiPriority w:val="99"/>
    <w:semiHidden/>
    <w:unhideWhenUsed/>
    <w:rsid w:val="00436A20"/>
    <w:rPr>
      <w:sz w:val="18"/>
      <w:szCs w:val="18"/>
    </w:rPr>
  </w:style>
  <w:style w:type="paragraph" w:styleId="ac">
    <w:name w:val="annotation text"/>
    <w:basedOn w:val="a"/>
    <w:link w:val="ad"/>
    <w:uiPriority w:val="99"/>
    <w:semiHidden/>
    <w:unhideWhenUsed/>
    <w:rsid w:val="00436A20"/>
  </w:style>
  <w:style w:type="character" w:customStyle="1" w:styleId="ad">
    <w:name w:val="註解文字 字元"/>
    <w:basedOn w:val="a0"/>
    <w:link w:val="ac"/>
    <w:uiPriority w:val="99"/>
    <w:semiHidden/>
    <w:rsid w:val="00436A20"/>
    <w:rPr>
      <w:rFonts w:ascii="細明體_HKSCS" w:eastAsia="細明體_HKSCS" w:hAnsi="細明體_HKSCS" w:cs="細明體_HKSCS"/>
      <w:sz w:val="22"/>
      <w:szCs w:val="22"/>
      <w:lang w:eastAsia="en-US"/>
    </w:rPr>
  </w:style>
  <w:style w:type="paragraph" w:styleId="ae">
    <w:name w:val="annotation subject"/>
    <w:basedOn w:val="ac"/>
    <w:next w:val="ac"/>
    <w:link w:val="af"/>
    <w:uiPriority w:val="99"/>
    <w:semiHidden/>
    <w:unhideWhenUsed/>
    <w:rsid w:val="00436A20"/>
    <w:rPr>
      <w:b/>
      <w:bCs/>
    </w:rPr>
  </w:style>
  <w:style w:type="character" w:customStyle="1" w:styleId="af">
    <w:name w:val="註解主旨 字元"/>
    <w:basedOn w:val="ad"/>
    <w:link w:val="ae"/>
    <w:uiPriority w:val="99"/>
    <w:semiHidden/>
    <w:rsid w:val="00436A20"/>
    <w:rPr>
      <w:rFonts w:ascii="細明體_HKSCS" w:eastAsia="細明體_HKSCS" w:hAnsi="細明體_HKSCS" w:cs="細明體_HKSCS"/>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02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884</Characters>
  <Application>Microsoft Office Word</Application>
  <DocSecurity>0</DocSecurity>
  <Lines>7</Lines>
  <Paragraphs>2</Paragraphs>
  <ScaleCrop>false</ScaleCrop>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編號7_日月光105-1發行辦法(生效版)_(Security B)</dc:title>
  <dc:creator>黃文琪</dc:creator>
  <cp:lastModifiedBy>謝菱純</cp:lastModifiedBy>
  <cp:revision>2</cp:revision>
  <cp:lastPrinted>2019-07-23T01:47:00Z</cp:lastPrinted>
  <dcterms:created xsi:type="dcterms:W3CDTF">2019-07-23T01:51:00Z</dcterms:created>
  <dcterms:modified xsi:type="dcterms:W3CDTF">2019-07-23T01:51:00Z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Creator">
    <vt:lpwstr>PDF reDirect v2</vt:lpwstr>
  </property>
  <property fmtid="{D5CDD505-2E9C-101B-9397-08002B2CF9AE}" pid="4" name="LastSaved">
    <vt:filetime>2019-04-02T00:00:00Z</vt:filetime>
  </property>
</Properties>
</file>