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AC9FC" w14:textId="77777777" w:rsidR="005A0507" w:rsidRPr="00570E49" w:rsidRDefault="005A0507" w:rsidP="005A0507">
      <w:pPr>
        <w:jc w:val="center"/>
        <w:rPr>
          <w:rFonts w:ascii="Arial" w:eastAsia="標楷體" w:hAnsi="Arial" w:cs="Arial"/>
          <w:sz w:val="26"/>
          <w:szCs w:val="26"/>
        </w:rPr>
      </w:pPr>
      <w:bookmarkStart w:id="0" w:name="_GoBack"/>
      <w:bookmarkEnd w:id="0"/>
      <w:r w:rsidRPr="00570E49">
        <w:rPr>
          <w:rFonts w:ascii="Arial" w:eastAsia="標楷體" w:hAnsi="Arial" w:cs="Arial"/>
          <w:sz w:val="26"/>
          <w:szCs w:val="26"/>
        </w:rPr>
        <w:t>台北富邦商業銀行股份有限公司</w:t>
      </w:r>
    </w:p>
    <w:p w14:paraId="32D37D26" w14:textId="10332420" w:rsidR="00171AE5" w:rsidRPr="00570E49" w:rsidRDefault="00562732" w:rsidP="005A0507">
      <w:pPr>
        <w:jc w:val="center"/>
        <w:rPr>
          <w:rFonts w:ascii="Arial" w:eastAsia="標楷體" w:hAnsi="Arial" w:cs="Arial"/>
          <w:sz w:val="26"/>
          <w:szCs w:val="26"/>
        </w:rPr>
      </w:pPr>
      <w:r w:rsidRPr="00570E49">
        <w:rPr>
          <w:rFonts w:ascii="Arial" w:eastAsia="標楷體" w:hAnsi="Arial" w:cs="Arial"/>
          <w:sz w:val="26"/>
          <w:szCs w:val="26"/>
        </w:rPr>
        <w:t>一</w:t>
      </w:r>
      <w:r w:rsidR="00466FB6">
        <w:rPr>
          <w:rFonts w:ascii="Arial" w:eastAsia="標楷體" w:hAnsi="Arial" w:cs="Arial" w:hint="eastAsia"/>
          <w:sz w:val="26"/>
          <w:szCs w:val="26"/>
        </w:rPr>
        <w:t>一</w:t>
      </w:r>
      <w:r w:rsidR="00570E49">
        <w:rPr>
          <w:rFonts w:ascii="Arial" w:eastAsia="標楷體" w:hAnsi="Arial" w:cs="Arial" w:hint="eastAsia"/>
          <w:sz w:val="26"/>
          <w:szCs w:val="26"/>
        </w:rPr>
        <w:t>Ｏ</w:t>
      </w:r>
      <w:r w:rsidRPr="00570E49">
        <w:rPr>
          <w:rFonts w:ascii="Arial" w:eastAsia="標楷體" w:hAnsi="Arial" w:cs="Arial"/>
          <w:sz w:val="26"/>
          <w:szCs w:val="26"/>
        </w:rPr>
        <w:t>年度第</w:t>
      </w:r>
      <w:r w:rsidR="00AE316C">
        <w:rPr>
          <w:rFonts w:ascii="Arial" w:eastAsia="標楷體" w:hAnsi="Arial" w:cs="Arial" w:hint="eastAsia"/>
          <w:sz w:val="26"/>
          <w:szCs w:val="26"/>
        </w:rPr>
        <w:t>三</w:t>
      </w:r>
      <w:r w:rsidR="00023F22" w:rsidRPr="00570E49">
        <w:rPr>
          <w:rFonts w:ascii="Arial" w:eastAsia="標楷體" w:hAnsi="Arial" w:cs="Arial"/>
          <w:sz w:val="26"/>
          <w:szCs w:val="26"/>
        </w:rPr>
        <w:t>期</w:t>
      </w:r>
      <w:r w:rsidR="005A0507" w:rsidRPr="00570E49">
        <w:rPr>
          <w:rFonts w:ascii="Arial" w:eastAsia="標楷體" w:hAnsi="Arial" w:cs="Arial"/>
          <w:sz w:val="26"/>
          <w:szCs w:val="26"/>
        </w:rPr>
        <w:t>次順位金融債券發行辦法</w:t>
      </w:r>
    </w:p>
    <w:p w14:paraId="7674E1E9" w14:textId="04288AAF" w:rsidR="005A0507" w:rsidRPr="00570E49" w:rsidRDefault="005A0507" w:rsidP="00570E49">
      <w:pPr>
        <w:kinsoku w:val="0"/>
        <w:spacing w:before="240"/>
        <w:jc w:val="both"/>
        <w:rPr>
          <w:rFonts w:ascii="Arial" w:eastAsia="標楷體" w:hAnsi="Arial" w:cs="Arial"/>
          <w:kern w:val="0"/>
        </w:rPr>
      </w:pPr>
      <w:r w:rsidRPr="00570E49">
        <w:rPr>
          <w:rFonts w:ascii="Arial" w:eastAsia="標楷體" w:hAnsi="Arial" w:cs="Arial"/>
        </w:rPr>
        <w:t>本債券經呈奉金融監督管理委員會民國</w:t>
      </w:r>
      <w:r w:rsidR="00562732" w:rsidRPr="00570E49">
        <w:rPr>
          <w:rFonts w:ascii="Arial" w:eastAsia="標楷體" w:hAnsi="Arial" w:cs="Arial"/>
        </w:rPr>
        <w:t>10</w:t>
      </w:r>
      <w:r w:rsidR="00570E49">
        <w:rPr>
          <w:rFonts w:ascii="Arial" w:eastAsia="標楷體" w:hAnsi="Arial" w:cs="Arial" w:hint="eastAsia"/>
        </w:rPr>
        <w:t>9</w:t>
      </w:r>
      <w:r w:rsidRPr="00570E49">
        <w:rPr>
          <w:rFonts w:ascii="Arial" w:eastAsia="標楷體" w:hAnsi="Arial" w:cs="Arial"/>
        </w:rPr>
        <w:t>年</w:t>
      </w:r>
      <w:r w:rsidR="00466FB6">
        <w:rPr>
          <w:rFonts w:ascii="Arial" w:eastAsia="標楷體" w:hAnsi="Arial" w:cs="Arial" w:hint="eastAsia"/>
        </w:rPr>
        <w:t>9</w:t>
      </w:r>
      <w:r w:rsidRPr="00570E49">
        <w:rPr>
          <w:rFonts w:ascii="Arial" w:eastAsia="標楷體" w:hAnsi="Arial" w:cs="Arial"/>
        </w:rPr>
        <w:t>月</w:t>
      </w:r>
      <w:r w:rsidR="00570E49">
        <w:rPr>
          <w:rFonts w:ascii="Arial" w:eastAsia="標楷體" w:hAnsi="Arial" w:cs="Arial" w:hint="eastAsia"/>
        </w:rPr>
        <w:t>11</w:t>
      </w:r>
      <w:r w:rsidRPr="00570E49">
        <w:rPr>
          <w:rFonts w:ascii="Arial" w:eastAsia="標楷體" w:hAnsi="Arial" w:cs="Arial"/>
        </w:rPr>
        <w:t>日金管銀控字第</w:t>
      </w:r>
      <w:r w:rsidR="00570E49" w:rsidRPr="00570E49">
        <w:rPr>
          <w:rFonts w:ascii="Arial" w:eastAsia="標楷體" w:hAnsi="Arial" w:cs="Arial"/>
        </w:rPr>
        <w:t>10902</w:t>
      </w:r>
      <w:r w:rsidR="00466FB6">
        <w:rPr>
          <w:rFonts w:ascii="Arial" w:eastAsia="標楷體" w:hAnsi="Arial" w:cs="Arial" w:hint="eastAsia"/>
        </w:rPr>
        <w:t>23404</w:t>
      </w:r>
      <w:r w:rsidRPr="00570E49">
        <w:rPr>
          <w:rFonts w:ascii="Arial" w:eastAsia="標楷體" w:hAnsi="Arial" w:cs="Arial"/>
        </w:rPr>
        <w:t>號函核准辦理</w:t>
      </w:r>
      <w:r w:rsidRPr="00570E49">
        <w:rPr>
          <w:rFonts w:ascii="Arial" w:eastAsia="標楷體" w:hAnsi="Arial" w:cs="Arial"/>
          <w:kern w:val="0"/>
        </w:rPr>
        <w:t>，發行要點如下：</w:t>
      </w:r>
    </w:p>
    <w:p w14:paraId="7D0B8FF1" w14:textId="48449E25" w:rsidR="005A0507" w:rsidRPr="00570E49" w:rsidRDefault="00562732" w:rsidP="00C1770D">
      <w:pPr>
        <w:pStyle w:val="Default"/>
        <w:numPr>
          <w:ilvl w:val="0"/>
          <w:numId w:val="24"/>
        </w:numPr>
        <w:snapToGrid w:val="0"/>
        <w:spacing w:before="100" w:beforeAutospacing="1" w:after="100" w:afterAutospacing="1"/>
        <w:jc w:val="both"/>
        <w:rPr>
          <w:rFonts w:ascii="Arial" w:hAnsi="Arial" w:cs="Arial"/>
          <w:color w:val="auto"/>
        </w:rPr>
      </w:pPr>
      <w:r w:rsidRPr="00570E49">
        <w:rPr>
          <w:rFonts w:ascii="Arial" w:hAnsi="Arial" w:cs="Arial"/>
          <w:color w:val="auto"/>
        </w:rPr>
        <w:t>債券名稱：台北富邦商業銀行股份有限公司一</w:t>
      </w:r>
      <w:r w:rsidR="00EF175A">
        <w:rPr>
          <w:rFonts w:ascii="Arial" w:hAnsi="Arial" w:cs="Arial" w:hint="eastAsia"/>
          <w:color w:val="auto"/>
        </w:rPr>
        <w:t>一</w:t>
      </w:r>
      <w:r w:rsidR="00570E49">
        <w:rPr>
          <w:rFonts w:ascii="Arial" w:hAnsi="Arial" w:cs="Arial" w:hint="eastAsia"/>
          <w:color w:val="auto"/>
        </w:rPr>
        <w:t>Ｏ</w:t>
      </w:r>
      <w:r w:rsidRPr="00570E49">
        <w:rPr>
          <w:rFonts w:ascii="Arial" w:hAnsi="Arial" w:cs="Arial"/>
          <w:color w:val="auto"/>
        </w:rPr>
        <w:t>年度第</w:t>
      </w:r>
      <w:r w:rsidR="00B83ED1">
        <w:rPr>
          <w:rFonts w:ascii="Arial" w:hAnsi="Arial" w:cs="Arial" w:hint="eastAsia"/>
          <w:color w:val="auto"/>
        </w:rPr>
        <w:t>三</w:t>
      </w:r>
      <w:r w:rsidR="00023F22" w:rsidRPr="00570E49">
        <w:rPr>
          <w:rFonts w:ascii="Arial" w:hAnsi="Arial" w:cs="Arial"/>
          <w:color w:val="auto"/>
        </w:rPr>
        <w:t>期</w:t>
      </w:r>
      <w:r w:rsidR="005A0507" w:rsidRPr="00570E49">
        <w:rPr>
          <w:rFonts w:ascii="Arial" w:hAnsi="Arial" w:cs="Arial"/>
          <w:color w:val="auto"/>
        </w:rPr>
        <w:t>次順位金融債券</w:t>
      </w:r>
      <w:r w:rsidR="00570E49">
        <w:rPr>
          <w:rFonts w:ascii="Arial" w:hAnsi="Arial" w:cs="Arial" w:hint="eastAsia"/>
          <w:color w:val="auto"/>
        </w:rPr>
        <w:t>（</w:t>
      </w:r>
      <w:r w:rsidR="005A0507" w:rsidRPr="00570E49">
        <w:rPr>
          <w:rFonts w:ascii="Arial" w:hAnsi="Arial" w:cs="Arial"/>
          <w:color w:val="auto"/>
        </w:rPr>
        <w:t>以下簡稱「本債券」</w:t>
      </w:r>
      <w:r w:rsidR="00570E49">
        <w:rPr>
          <w:rFonts w:ascii="Arial" w:hAnsi="Arial" w:cs="Arial" w:hint="eastAsia"/>
          <w:color w:val="auto"/>
        </w:rPr>
        <w:t>）</w:t>
      </w:r>
      <w:r w:rsidR="005A0507" w:rsidRPr="00570E49">
        <w:rPr>
          <w:rFonts w:ascii="Arial" w:hAnsi="Arial" w:cs="Arial"/>
          <w:color w:val="auto"/>
        </w:rPr>
        <w:t>。</w:t>
      </w:r>
    </w:p>
    <w:p w14:paraId="3F9E0AC2" w14:textId="77777777" w:rsidR="005A0507" w:rsidRPr="00570E49" w:rsidRDefault="005A0507" w:rsidP="00C1770D">
      <w:pPr>
        <w:pStyle w:val="Default"/>
        <w:numPr>
          <w:ilvl w:val="0"/>
          <w:numId w:val="24"/>
        </w:numPr>
        <w:snapToGrid w:val="0"/>
        <w:spacing w:before="100" w:beforeAutospacing="1" w:after="100" w:afterAutospacing="1"/>
        <w:jc w:val="both"/>
        <w:rPr>
          <w:rFonts w:ascii="Arial" w:hAnsi="Arial" w:cs="Arial"/>
          <w:color w:val="auto"/>
        </w:rPr>
      </w:pPr>
      <w:r w:rsidRPr="00570E49">
        <w:rPr>
          <w:rFonts w:ascii="Arial" w:hAnsi="Arial" w:cs="Arial"/>
          <w:color w:val="auto"/>
        </w:rPr>
        <w:t>本次發行時台北富邦商業銀行股份有限公司</w:t>
      </w:r>
      <w:r w:rsidR="00570E49">
        <w:rPr>
          <w:rFonts w:ascii="Arial" w:hAnsi="Arial" w:cs="Arial" w:hint="eastAsia"/>
          <w:color w:val="auto"/>
        </w:rPr>
        <w:t>（</w:t>
      </w:r>
      <w:r w:rsidRPr="00570E49">
        <w:rPr>
          <w:rFonts w:ascii="Arial" w:hAnsi="Arial" w:cs="Arial"/>
          <w:color w:val="auto"/>
        </w:rPr>
        <w:t>以下稱「本行」</w:t>
      </w:r>
      <w:r w:rsidR="00570E49">
        <w:rPr>
          <w:rFonts w:ascii="Arial" w:hAnsi="Arial" w:cs="Arial" w:hint="eastAsia"/>
          <w:color w:val="auto"/>
        </w:rPr>
        <w:t>）</w:t>
      </w:r>
      <w:r w:rsidRPr="00570E49">
        <w:rPr>
          <w:rFonts w:ascii="Arial" w:hAnsi="Arial" w:cs="Arial"/>
          <w:color w:val="auto"/>
        </w:rPr>
        <w:t>信用評等為中華信評</w:t>
      </w:r>
      <w:r w:rsidRPr="00570E49">
        <w:rPr>
          <w:rFonts w:ascii="Arial" w:hAnsi="Arial" w:cs="Arial"/>
          <w:color w:val="auto"/>
        </w:rPr>
        <w:t>twAA+</w:t>
      </w:r>
      <w:r w:rsidRPr="00570E49">
        <w:rPr>
          <w:rFonts w:ascii="Arial" w:hAnsi="Arial" w:cs="Arial"/>
          <w:color w:val="auto"/>
        </w:rPr>
        <w:t>。</w:t>
      </w:r>
      <w:r w:rsidR="00343E1D" w:rsidRPr="00570E49">
        <w:rPr>
          <w:rFonts w:ascii="Arial" w:hAnsi="Arial" w:cs="Arial"/>
          <w:color w:val="auto"/>
        </w:rPr>
        <w:t>前揭評等為本行之信用評等，投資人應注意債券本身之風險。</w:t>
      </w:r>
    </w:p>
    <w:p w14:paraId="2D0F9835" w14:textId="77777777" w:rsidR="00570E49" w:rsidRDefault="00570E49" w:rsidP="00C1770D">
      <w:pPr>
        <w:numPr>
          <w:ilvl w:val="0"/>
          <w:numId w:val="24"/>
        </w:numPr>
        <w:ind w:hangingChars="250"/>
        <w:jc w:val="both"/>
        <w:rPr>
          <w:rFonts w:ascii="Arial" w:eastAsia="標楷體" w:hAnsi="Arial" w:cs="Arial"/>
        </w:rPr>
      </w:pPr>
      <w:r w:rsidRPr="00570E49">
        <w:rPr>
          <w:rFonts w:ascii="Arial" w:eastAsia="標楷體" w:hAnsi="Arial" w:cs="Arial"/>
        </w:rPr>
        <w:t>發行總額及每張面額：</w:t>
      </w:r>
    </w:p>
    <w:p w14:paraId="4A4EFA07" w14:textId="46EB37DE" w:rsidR="00570E49" w:rsidRDefault="00570E49" w:rsidP="00C1770D">
      <w:pPr>
        <w:numPr>
          <w:ilvl w:val="1"/>
          <w:numId w:val="24"/>
        </w:numPr>
        <w:jc w:val="both"/>
        <w:rPr>
          <w:rFonts w:ascii="Arial" w:eastAsia="標楷體" w:hAnsi="Arial" w:cs="Arial"/>
        </w:rPr>
      </w:pPr>
      <w:r w:rsidRPr="00570E49">
        <w:rPr>
          <w:rFonts w:ascii="Arial" w:eastAsia="標楷體" w:hAnsi="Arial" w:cs="Arial"/>
        </w:rPr>
        <w:t>發行總額：本債券發行總額為新</w:t>
      </w:r>
      <w:r w:rsidRPr="00CD1036">
        <w:rPr>
          <w:rFonts w:ascii="Arial" w:eastAsia="標楷體" w:hAnsi="Arial" w:cs="Arial" w:hint="eastAsia"/>
        </w:rPr>
        <w:t>臺</w:t>
      </w:r>
      <w:r w:rsidRPr="00CD1036">
        <w:rPr>
          <w:rFonts w:ascii="Arial" w:eastAsia="標楷體" w:hAnsi="Arial" w:cs="Arial"/>
        </w:rPr>
        <w:t>幣</w:t>
      </w:r>
      <w:r w:rsidR="00987F3A">
        <w:rPr>
          <w:rFonts w:ascii="Arial" w:eastAsia="標楷體" w:hAnsi="Arial" w:cs="Arial" w:hint="eastAsia"/>
        </w:rPr>
        <w:t>貳</w:t>
      </w:r>
      <w:r w:rsidRPr="00CD1036">
        <w:rPr>
          <w:rFonts w:ascii="Arial" w:eastAsia="標楷體" w:hAnsi="Arial" w:cs="Arial"/>
        </w:rPr>
        <w:t>拾</w:t>
      </w:r>
      <w:r w:rsidR="00987F3A">
        <w:rPr>
          <w:rFonts w:ascii="Arial" w:eastAsia="標楷體" w:hAnsi="Arial" w:cs="Arial" w:hint="eastAsia"/>
        </w:rPr>
        <w:t>肆</w:t>
      </w:r>
      <w:r w:rsidRPr="00CD1036">
        <w:rPr>
          <w:rFonts w:ascii="Arial" w:eastAsia="標楷體" w:hAnsi="Arial" w:cs="Arial"/>
        </w:rPr>
        <w:t>億</w:t>
      </w:r>
      <w:r w:rsidRPr="00570E49">
        <w:rPr>
          <w:rFonts w:ascii="Arial" w:eastAsia="標楷體" w:hAnsi="Arial" w:cs="Arial"/>
        </w:rPr>
        <w:t>元整。</w:t>
      </w:r>
    </w:p>
    <w:p w14:paraId="52DAB10A" w14:textId="77777777" w:rsidR="00570E49" w:rsidRPr="00570E49" w:rsidRDefault="00570E49" w:rsidP="00C1770D">
      <w:pPr>
        <w:numPr>
          <w:ilvl w:val="1"/>
          <w:numId w:val="24"/>
        </w:numPr>
        <w:jc w:val="both"/>
        <w:rPr>
          <w:rFonts w:ascii="Arial" w:eastAsia="標楷體" w:hAnsi="Arial" w:cs="Arial"/>
        </w:rPr>
      </w:pPr>
      <w:r w:rsidRPr="00570E49">
        <w:rPr>
          <w:rFonts w:ascii="Arial" w:eastAsia="標楷體" w:hAnsi="Arial" w:cs="Arial"/>
        </w:rPr>
        <w:t>每張面額：本債券每張面額為新</w:t>
      </w:r>
      <w:r>
        <w:rPr>
          <w:rFonts w:ascii="Arial" w:eastAsia="標楷體" w:hAnsi="Arial" w:cs="Arial" w:hint="eastAsia"/>
        </w:rPr>
        <w:t>臺</w:t>
      </w:r>
      <w:r w:rsidRPr="00570E49">
        <w:rPr>
          <w:rFonts w:ascii="Arial" w:eastAsia="標楷體" w:hAnsi="Arial" w:cs="Arial"/>
        </w:rPr>
        <w:t>幣壹仟萬元整。</w:t>
      </w:r>
    </w:p>
    <w:p w14:paraId="28C1D28C" w14:textId="3B073AB9" w:rsidR="000072EE" w:rsidRPr="001B08CA" w:rsidRDefault="00570E49" w:rsidP="00C1770D">
      <w:pPr>
        <w:numPr>
          <w:ilvl w:val="0"/>
          <w:numId w:val="24"/>
        </w:numPr>
        <w:ind w:hangingChars="250"/>
        <w:jc w:val="both"/>
        <w:rPr>
          <w:rFonts w:ascii="Arial" w:eastAsia="標楷體" w:hAnsi="Arial" w:cs="Arial"/>
          <w:u w:val="single"/>
        </w:rPr>
      </w:pPr>
      <w:r w:rsidRPr="00570E49">
        <w:rPr>
          <w:rFonts w:ascii="Arial" w:eastAsia="標楷體" w:hAnsi="Arial" w:cs="Arial"/>
        </w:rPr>
        <w:t>票面利率：</w:t>
      </w:r>
      <w:r w:rsidR="00F77AD8" w:rsidRPr="001B08CA">
        <w:rPr>
          <w:rFonts w:ascii="標楷體" w:eastAsia="標楷體" w:hAnsi="標楷體" w:hint="eastAsia"/>
        </w:rPr>
        <w:t>本債券之票面利率為固定利率，按年息0.70%計算。</w:t>
      </w:r>
    </w:p>
    <w:p w14:paraId="2C5A832C" w14:textId="77777777" w:rsidR="00F77AD8" w:rsidRPr="001B08CA" w:rsidRDefault="00F77AD8" w:rsidP="00F77AD8">
      <w:pPr>
        <w:numPr>
          <w:ilvl w:val="0"/>
          <w:numId w:val="24"/>
        </w:numPr>
        <w:ind w:hangingChars="250"/>
        <w:jc w:val="both"/>
        <w:rPr>
          <w:rFonts w:ascii="Arial" w:eastAsia="標楷體" w:hAnsi="Arial" w:cs="Arial"/>
          <w:u w:val="single"/>
        </w:rPr>
      </w:pPr>
      <w:r w:rsidRPr="001B08CA">
        <w:rPr>
          <w:rFonts w:ascii="Arial" w:eastAsia="標楷體" w:hAnsi="Arial" w:cs="Arial"/>
        </w:rPr>
        <w:t>發行價格：本債券按票面金額十足發行。</w:t>
      </w:r>
    </w:p>
    <w:p w14:paraId="2B6092A7" w14:textId="3AA6C7FB" w:rsidR="00F77AD8" w:rsidRPr="001B08CA" w:rsidRDefault="00F77AD8" w:rsidP="00F77AD8">
      <w:pPr>
        <w:pStyle w:val="a8"/>
        <w:numPr>
          <w:ilvl w:val="0"/>
          <w:numId w:val="24"/>
        </w:numPr>
        <w:kinsoku/>
        <w:spacing w:before="0" w:line="240" w:lineRule="auto"/>
        <w:ind w:hangingChars="250"/>
        <w:rPr>
          <w:rFonts w:ascii="Arial" w:hAnsi="Arial" w:cs="Arial"/>
        </w:rPr>
      </w:pPr>
      <w:r w:rsidRPr="001B08CA">
        <w:rPr>
          <w:rFonts w:ascii="Arial" w:hAnsi="Arial" w:cs="Arial"/>
          <w:szCs w:val="24"/>
        </w:rPr>
        <w:t>發行期間</w:t>
      </w:r>
      <w:r w:rsidRPr="001B08CA">
        <w:rPr>
          <w:rFonts w:ascii="Arial" w:hAnsi="Arial" w:cs="Arial"/>
        </w:rPr>
        <w:t>：</w:t>
      </w:r>
      <w:r w:rsidRPr="001B08CA">
        <w:rPr>
          <w:rFonts w:ascii="標楷體" w:hAnsi="標楷體" w:hint="eastAsia"/>
        </w:rPr>
        <w:t>發行期間十年，自民國110年09月</w:t>
      </w:r>
      <w:r w:rsidR="001B08CA" w:rsidRPr="001B08CA">
        <w:rPr>
          <w:rFonts w:ascii="標楷體" w:hAnsi="標楷體" w:hint="eastAsia"/>
        </w:rPr>
        <w:t>0</w:t>
      </w:r>
      <w:r w:rsidR="001B08CA" w:rsidRPr="001B08CA">
        <w:rPr>
          <w:rFonts w:ascii="標楷體" w:hAnsi="標楷體"/>
        </w:rPr>
        <w:t>2</w:t>
      </w:r>
      <w:r w:rsidRPr="001B08CA">
        <w:rPr>
          <w:rFonts w:ascii="標楷體" w:hAnsi="標楷體" w:hint="eastAsia"/>
        </w:rPr>
        <w:t>日起至民國120年09月</w:t>
      </w:r>
      <w:r w:rsidR="001B08CA" w:rsidRPr="001B08CA">
        <w:rPr>
          <w:rFonts w:ascii="標楷體" w:hAnsi="標楷體" w:hint="eastAsia"/>
        </w:rPr>
        <w:t>02</w:t>
      </w:r>
      <w:r w:rsidRPr="001B08CA">
        <w:rPr>
          <w:rFonts w:ascii="標楷體" w:hAnsi="標楷體" w:hint="eastAsia"/>
        </w:rPr>
        <w:t>日到期。</w:t>
      </w:r>
    </w:p>
    <w:p w14:paraId="79BCBB4A" w14:textId="5452A83C" w:rsidR="00F77AD8" w:rsidRDefault="00F77AD8" w:rsidP="00F02619">
      <w:pPr>
        <w:numPr>
          <w:ilvl w:val="0"/>
          <w:numId w:val="24"/>
        </w:numPr>
        <w:ind w:hangingChars="250"/>
        <w:jc w:val="both"/>
        <w:rPr>
          <w:rFonts w:ascii="Arial" w:eastAsia="標楷體" w:hAnsi="Arial" w:cs="Arial"/>
        </w:rPr>
      </w:pPr>
      <w:r>
        <w:rPr>
          <w:rFonts w:ascii="Arial" w:eastAsia="標楷體" w:hAnsi="Arial" w:cs="Arial" w:hint="eastAsia"/>
        </w:rPr>
        <w:t>計</w:t>
      </w:r>
      <w:r w:rsidRPr="0010276D">
        <w:rPr>
          <w:rFonts w:ascii="標楷體" w:eastAsia="標楷體" w:hAnsi="標楷體" w:hint="eastAsia"/>
        </w:rPr>
        <w:t>、</w:t>
      </w:r>
      <w:r>
        <w:rPr>
          <w:rFonts w:ascii="Arial" w:eastAsia="標楷體" w:hAnsi="Arial" w:cs="Arial" w:hint="eastAsia"/>
        </w:rPr>
        <w:t>付息方式</w:t>
      </w:r>
    </w:p>
    <w:p w14:paraId="6E3754C4" w14:textId="77777777" w:rsidR="00F02619" w:rsidRDefault="00F02619" w:rsidP="00F02619">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本債券自發行日起每年依票面利率採實際天數單利付息</w:t>
      </w:r>
      <w:r>
        <w:rPr>
          <w:rFonts w:ascii="Arial" w:eastAsia="標楷體" w:hAnsi="Arial" w:cs="Arial" w:hint="eastAsia"/>
        </w:rPr>
        <w:t>乙</w:t>
      </w:r>
      <w:r w:rsidRPr="00570E49">
        <w:rPr>
          <w:rFonts w:ascii="Arial" w:eastAsia="標楷體" w:hAnsi="Arial" w:cs="Arial"/>
        </w:rPr>
        <w:t>次，計息基礎依實際天數除以實際天數</w:t>
      </w:r>
      <w:r w:rsidRPr="00570E49">
        <w:rPr>
          <w:rFonts w:ascii="Arial" w:eastAsia="標楷體" w:hAnsi="Arial" w:cs="Arial"/>
        </w:rPr>
        <w:t>(act/act)</w:t>
      </w:r>
      <w:r w:rsidRPr="00570E49">
        <w:rPr>
          <w:rFonts w:ascii="Arial" w:eastAsia="標楷體" w:hAnsi="Arial" w:cs="Arial"/>
        </w:rPr>
        <w:t>計算。</w:t>
      </w:r>
    </w:p>
    <w:p w14:paraId="5BBBD3BE" w14:textId="77777777" w:rsidR="002868CC" w:rsidRPr="00570E49" w:rsidRDefault="002868CC" w:rsidP="00F02619">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付息金額以每張債券面額計算至元為止，元以下四捨五入，以本行計算者為準。</w:t>
      </w:r>
    </w:p>
    <w:p w14:paraId="4FB719A2" w14:textId="77777777" w:rsidR="00F02619" w:rsidRPr="00570E49" w:rsidRDefault="00F02619" w:rsidP="00F02619">
      <w:pPr>
        <w:numPr>
          <w:ilvl w:val="0"/>
          <w:numId w:val="24"/>
        </w:numPr>
        <w:ind w:hangingChars="250"/>
        <w:jc w:val="both"/>
        <w:rPr>
          <w:rFonts w:ascii="Arial" w:eastAsia="標楷體" w:hAnsi="Arial" w:cs="Arial"/>
        </w:rPr>
      </w:pPr>
      <w:r w:rsidRPr="00570E49">
        <w:rPr>
          <w:rFonts w:ascii="Arial" w:eastAsia="標楷體" w:hAnsi="Arial" w:cs="Arial"/>
        </w:rPr>
        <w:t>還本方式</w:t>
      </w:r>
      <w:r w:rsidRPr="00570E49">
        <w:rPr>
          <w:rFonts w:ascii="Arial" w:eastAsia="標楷體" w:hAnsi="Arial" w:cs="Arial"/>
          <w:kern w:val="0"/>
        </w:rPr>
        <w:t>：</w:t>
      </w:r>
      <w:r w:rsidRPr="00570E49">
        <w:rPr>
          <w:rFonts w:ascii="Arial" w:eastAsia="標楷體" w:hAnsi="Arial" w:cs="Arial"/>
        </w:rPr>
        <w:t>本債券自發行日起到期一次還本。本債券還本付息日如為付款地銀行業停止營業日時，則於停止營業日之次營業日給付本息，不另計付利息。逾還本付息日領取本金、利息者，不另計利息。</w:t>
      </w:r>
    </w:p>
    <w:p w14:paraId="3E5F2E20" w14:textId="77777777" w:rsidR="009F206E" w:rsidRPr="00570E49" w:rsidRDefault="005A0507" w:rsidP="00C1770D">
      <w:pPr>
        <w:pStyle w:val="Default"/>
        <w:numPr>
          <w:ilvl w:val="0"/>
          <w:numId w:val="24"/>
        </w:numPr>
        <w:autoSpaceDE/>
        <w:autoSpaceDN/>
        <w:adjustRightInd/>
        <w:ind w:hangingChars="250"/>
        <w:jc w:val="both"/>
        <w:rPr>
          <w:rFonts w:ascii="Arial" w:hAnsi="Arial" w:cs="Arial"/>
          <w:color w:val="auto"/>
        </w:rPr>
      </w:pPr>
      <w:r w:rsidRPr="00570E49">
        <w:rPr>
          <w:rFonts w:ascii="Arial" w:hAnsi="Arial" w:cs="Arial"/>
          <w:color w:val="auto"/>
        </w:rPr>
        <w:t>債權順位：</w:t>
      </w:r>
      <w:r w:rsidR="009F206E" w:rsidRPr="00570E49">
        <w:rPr>
          <w:rFonts w:ascii="Arial" w:hAnsi="Arial" w:cs="Arial"/>
          <w:color w:val="auto"/>
        </w:rPr>
        <w:t>本債券債權（含本金及利息）之受償順位優於本行股東剩餘財產分派權，次於本行所有存款人、其他一般債權人。若本行發生經主管機關派員接管、勒令停業清理、清算時，本債券持有人之清償順位與本行普通股股東相同。</w:t>
      </w:r>
    </w:p>
    <w:p w14:paraId="64794608" w14:textId="77777777" w:rsidR="00AB2648" w:rsidRDefault="005A0507" w:rsidP="000B190B">
      <w:pPr>
        <w:numPr>
          <w:ilvl w:val="0"/>
          <w:numId w:val="24"/>
        </w:numPr>
        <w:ind w:left="720" w:hangingChars="300" w:hanging="720"/>
        <w:jc w:val="both"/>
        <w:rPr>
          <w:rFonts w:ascii="Arial" w:eastAsia="標楷體" w:hAnsi="Arial" w:cs="Arial"/>
        </w:rPr>
      </w:pPr>
      <w:r w:rsidRPr="00570E49">
        <w:rPr>
          <w:rFonts w:ascii="Arial" w:eastAsia="標楷體" w:hAnsi="Arial" w:cs="Arial"/>
        </w:rPr>
        <w:t>投資風險：</w:t>
      </w:r>
    </w:p>
    <w:p w14:paraId="1B809AE4" w14:textId="77777777" w:rsidR="002868CC" w:rsidRDefault="002868CC" w:rsidP="002868CC">
      <w:pPr>
        <w:numPr>
          <w:ilvl w:val="1"/>
          <w:numId w:val="24"/>
        </w:numPr>
        <w:jc w:val="both"/>
        <w:rPr>
          <w:rFonts w:ascii="Arial" w:eastAsia="標楷體" w:hAnsi="Arial" w:cs="Arial"/>
        </w:rPr>
      </w:pPr>
      <w:r w:rsidRPr="00570E49">
        <w:rPr>
          <w:rFonts w:ascii="Arial" w:eastAsia="標楷體" w:hAnsi="Arial" w:cs="Arial"/>
        </w:rPr>
        <w:t>本債券係為無擔保債券。</w:t>
      </w:r>
    </w:p>
    <w:p w14:paraId="2FC2EB94" w14:textId="77777777" w:rsidR="002868CC" w:rsidRPr="00570E49" w:rsidRDefault="002868CC" w:rsidP="002868CC">
      <w:pPr>
        <w:numPr>
          <w:ilvl w:val="1"/>
          <w:numId w:val="24"/>
        </w:numPr>
        <w:jc w:val="both"/>
        <w:rPr>
          <w:rFonts w:ascii="Arial" w:eastAsia="標楷體" w:hAnsi="Arial" w:cs="Arial"/>
        </w:rPr>
      </w:pPr>
      <w:r w:rsidRPr="00570E49">
        <w:rPr>
          <w:rFonts w:ascii="Arial" w:eastAsia="標楷體" w:hAnsi="Arial" w:cs="Arial"/>
        </w:rPr>
        <w:t>本債券非銀行存款，不受中央存款保險公司存款保險之保障。</w:t>
      </w:r>
    </w:p>
    <w:p w14:paraId="63D462EE" w14:textId="77777777" w:rsidR="00181E8C" w:rsidRPr="00570E49" w:rsidRDefault="009F206E" w:rsidP="000B190B">
      <w:pPr>
        <w:numPr>
          <w:ilvl w:val="0"/>
          <w:numId w:val="24"/>
        </w:numPr>
        <w:tabs>
          <w:tab w:val="left" w:pos="720"/>
        </w:tabs>
        <w:ind w:left="720" w:hangingChars="300" w:hanging="720"/>
        <w:jc w:val="both"/>
        <w:rPr>
          <w:rFonts w:ascii="Arial" w:eastAsia="標楷體" w:hAnsi="Arial" w:cs="Arial"/>
        </w:rPr>
      </w:pPr>
      <w:r w:rsidRPr="00570E49">
        <w:rPr>
          <w:rFonts w:ascii="Arial" w:eastAsia="標楷體" w:hAnsi="Arial" w:cs="Arial"/>
        </w:rPr>
        <w:t>還本付息</w:t>
      </w:r>
      <w:r w:rsidR="00181E8C" w:rsidRPr="00570E49">
        <w:rPr>
          <w:rFonts w:ascii="Arial" w:eastAsia="標楷體" w:hAnsi="Arial" w:cs="Arial"/>
        </w:rPr>
        <w:t>機構：本債券由本行市府分行辦理本息兌領作業，並以臺灣集中保管結算所股份有限公司提供之債券持有人名冊及還本付息明細表作為辦理本息兌領作業之依據。</w:t>
      </w:r>
    </w:p>
    <w:p w14:paraId="65E44051" w14:textId="77777777" w:rsidR="00EB1572" w:rsidRPr="00570E49" w:rsidRDefault="00EB1572" w:rsidP="000B190B">
      <w:pPr>
        <w:numPr>
          <w:ilvl w:val="0"/>
          <w:numId w:val="24"/>
        </w:numPr>
        <w:tabs>
          <w:tab w:val="left" w:pos="720"/>
        </w:tabs>
        <w:ind w:left="720" w:hangingChars="300" w:hanging="720"/>
        <w:jc w:val="both"/>
        <w:rPr>
          <w:rFonts w:ascii="Arial" w:eastAsia="標楷體" w:hAnsi="Arial" w:cs="Arial"/>
        </w:rPr>
      </w:pPr>
      <w:r w:rsidRPr="00570E49">
        <w:rPr>
          <w:rFonts w:ascii="Arial" w:eastAsia="標楷體" w:hAnsi="Arial" w:cs="Arial"/>
        </w:rPr>
        <w:t>銷售對象：本債券僅限銷售予「境外結構型商品管理規則」第三條所稱之專業投資人。</w:t>
      </w:r>
    </w:p>
    <w:p w14:paraId="008446EF" w14:textId="77777777" w:rsidR="00181E8C" w:rsidRPr="00570E49" w:rsidRDefault="00181E8C" w:rsidP="002868CC">
      <w:pPr>
        <w:numPr>
          <w:ilvl w:val="0"/>
          <w:numId w:val="24"/>
        </w:numPr>
        <w:tabs>
          <w:tab w:val="left" w:pos="720"/>
        </w:tabs>
        <w:ind w:left="720" w:hangingChars="300" w:hanging="720"/>
        <w:jc w:val="both"/>
        <w:rPr>
          <w:rFonts w:ascii="Arial" w:eastAsia="標楷體" w:hAnsi="Arial" w:cs="Arial"/>
        </w:rPr>
      </w:pPr>
      <w:r w:rsidRPr="00570E49">
        <w:rPr>
          <w:rFonts w:ascii="Arial" w:eastAsia="標楷體" w:hAnsi="Arial" w:cs="Arial"/>
        </w:rPr>
        <w:t>公告</w:t>
      </w:r>
      <w:r w:rsidR="00DD3D82">
        <w:rPr>
          <w:rFonts w:ascii="Arial" w:eastAsia="標楷體" w:hAnsi="Arial" w:cs="Arial" w:hint="eastAsia"/>
        </w:rPr>
        <w:t>：</w:t>
      </w:r>
      <w:r w:rsidR="009A425D" w:rsidRPr="00570E49">
        <w:rPr>
          <w:rFonts w:ascii="Arial" w:eastAsia="標楷體" w:hAnsi="Arial" w:cs="Arial"/>
        </w:rPr>
        <w:t>有關本債券應通知</w:t>
      </w:r>
      <w:r w:rsidR="00343E1D" w:rsidRPr="00570E49">
        <w:rPr>
          <w:rFonts w:ascii="Arial" w:eastAsia="標楷體" w:hAnsi="Arial" w:cs="Arial"/>
        </w:rPr>
        <w:t>債券投資人、</w:t>
      </w:r>
      <w:r w:rsidR="00EB1572" w:rsidRPr="00570E49">
        <w:rPr>
          <w:rFonts w:ascii="Arial" w:eastAsia="標楷體" w:hAnsi="Arial" w:cs="Arial"/>
        </w:rPr>
        <w:t>債券持有人</w:t>
      </w:r>
      <w:r w:rsidR="00343E1D" w:rsidRPr="00570E49">
        <w:rPr>
          <w:rFonts w:ascii="Arial" w:eastAsia="標楷體" w:hAnsi="Arial" w:cs="Arial"/>
        </w:rPr>
        <w:t>或債權人</w:t>
      </w:r>
      <w:r w:rsidR="00EB1572" w:rsidRPr="00570E49">
        <w:rPr>
          <w:rFonts w:ascii="Arial" w:eastAsia="標楷體" w:hAnsi="Arial" w:cs="Arial"/>
        </w:rPr>
        <w:t>之事項，得以公開資訊觀測站公告或其他公告方式為之。</w:t>
      </w:r>
    </w:p>
    <w:p w14:paraId="6DA1FAB1" w14:textId="77777777" w:rsidR="005A0507" w:rsidRDefault="005A0507" w:rsidP="002868CC">
      <w:pPr>
        <w:numPr>
          <w:ilvl w:val="0"/>
          <w:numId w:val="24"/>
        </w:numPr>
        <w:tabs>
          <w:tab w:val="left" w:pos="720"/>
        </w:tabs>
        <w:ind w:left="720" w:hangingChars="300" w:hanging="720"/>
        <w:jc w:val="both"/>
        <w:rPr>
          <w:rFonts w:ascii="Arial" w:eastAsia="標楷體" w:hAnsi="Arial" w:cs="Arial"/>
        </w:rPr>
      </w:pPr>
      <w:r w:rsidRPr="00570E49">
        <w:rPr>
          <w:rFonts w:ascii="Arial" w:eastAsia="標楷體" w:hAnsi="Arial" w:cs="Arial"/>
        </w:rPr>
        <w:lastRenderedPageBreak/>
        <w:t>其他規定：</w:t>
      </w:r>
    </w:p>
    <w:p w14:paraId="7A1B3728" w14:textId="77777777" w:rsidR="00DD3D82" w:rsidRDefault="00DD3D82" w:rsidP="00DD3D82">
      <w:pPr>
        <w:numPr>
          <w:ilvl w:val="1"/>
          <w:numId w:val="24"/>
        </w:numPr>
        <w:tabs>
          <w:tab w:val="left" w:pos="720"/>
        </w:tabs>
        <w:jc w:val="both"/>
        <w:rPr>
          <w:rFonts w:ascii="Arial" w:eastAsia="標楷體" w:hAnsi="Arial" w:cs="Arial"/>
        </w:rPr>
      </w:pPr>
      <w:r w:rsidRPr="00570E49">
        <w:rPr>
          <w:rFonts w:ascii="Arial" w:eastAsia="標楷體" w:hAnsi="Arial" w:cs="Arial"/>
        </w:rPr>
        <w:t>本債券採無實體發行，並洽台灣集中保管結算所股份有限公司登錄。</w:t>
      </w:r>
    </w:p>
    <w:p w14:paraId="012003A1" w14:textId="77777777" w:rsidR="00DD3D82" w:rsidRDefault="00DD3D82" w:rsidP="00DD3D82">
      <w:pPr>
        <w:numPr>
          <w:ilvl w:val="1"/>
          <w:numId w:val="24"/>
        </w:numPr>
        <w:tabs>
          <w:tab w:val="left" w:pos="720"/>
        </w:tabs>
        <w:jc w:val="both"/>
        <w:rPr>
          <w:rFonts w:ascii="Arial" w:eastAsia="標楷體" w:hAnsi="Arial" w:cs="Arial"/>
        </w:rPr>
      </w:pPr>
      <w:r w:rsidRPr="00570E49">
        <w:rPr>
          <w:rFonts w:ascii="Arial" w:eastAsia="標楷體" w:hAnsi="Arial" w:cs="Arial"/>
        </w:rPr>
        <w:t>本債券採櫃檯買賣。</w:t>
      </w:r>
    </w:p>
    <w:p w14:paraId="4437E1F9" w14:textId="77777777" w:rsidR="00DD3D82" w:rsidRDefault="00DD3D82" w:rsidP="00DD3D82">
      <w:pPr>
        <w:numPr>
          <w:ilvl w:val="1"/>
          <w:numId w:val="24"/>
        </w:numPr>
        <w:tabs>
          <w:tab w:val="left" w:pos="720"/>
        </w:tabs>
        <w:jc w:val="both"/>
        <w:rPr>
          <w:rFonts w:ascii="Arial" w:eastAsia="標楷體" w:hAnsi="Arial" w:cs="Arial"/>
        </w:rPr>
      </w:pPr>
      <w:r w:rsidRPr="00570E49">
        <w:rPr>
          <w:rFonts w:ascii="Arial" w:eastAsia="標楷體" w:hAnsi="Arial" w:cs="Arial"/>
        </w:rPr>
        <w:t>本債券得自由轉讓及提供擔保。</w:t>
      </w:r>
    </w:p>
    <w:p w14:paraId="2EE4E6ED" w14:textId="77777777" w:rsidR="00DD3D82"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本行或其關係企業並無提供保證或擔保品或其他安排，以增進本債券持有人之受償順位。</w:t>
      </w:r>
    </w:p>
    <w:p w14:paraId="1E7BCC65" w14:textId="77777777" w:rsidR="00DD3D82"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本債券</w:t>
      </w:r>
      <w:r>
        <w:rPr>
          <w:rFonts w:ascii="Arial" w:eastAsia="標楷體" w:hAnsi="Arial" w:cs="Arial"/>
        </w:rPr>
        <w:t>之時效</w:t>
      </w:r>
      <w:r w:rsidRPr="00570E49">
        <w:rPr>
          <w:rFonts w:ascii="Arial" w:eastAsia="標楷體" w:hAnsi="Arial" w:cs="Arial"/>
        </w:rPr>
        <w:t>依照中華民國民法或發行適用之準據法有關規定辦理。</w:t>
      </w:r>
    </w:p>
    <w:p w14:paraId="0E5CFE4F" w14:textId="77777777" w:rsidR="00DD3D82"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本債券於核付債券利息時，依稅法規定代為扣繳所得稅、中央健康保險署補充健保費</w:t>
      </w:r>
      <w:r w:rsidRPr="00570E49">
        <w:rPr>
          <w:rFonts w:ascii="Arial" w:eastAsia="標楷體" w:hAnsi="Arial" w:cs="Arial"/>
        </w:rPr>
        <w:t>(</w:t>
      </w:r>
      <w:r w:rsidRPr="00570E49">
        <w:rPr>
          <w:rFonts w:ascii="Arial" w:eastAsia="標楷體" w:hAnsi="Arial" w:cs="Arial"/>
        </w:rPr>
        <w:t>如適用</w:t>
      </w:r>
      <w:r w:rsidRPr="00570E49">
        <w:rPr>
          <w:rFonts w:ascii="Arial" w:eastAsia="標楷體" w:hAnsi="Arial" w:cs="Arial"/>
        </w:rPr>
        <w:t>)</w:t>
      </w:r>
      <w:r w:rsidRPr="00570E49">
        <w:rPr>
          <w:rFonts w:ascii="Arial" w:eastAsia="標楷體" w:hAnsi="Arial" w:cs="Arial"/>
        </w:rPr>
        <w:t>或依其他法規規定須代為扣繳之項目。</w:t>
      </w:r>
    </w:p>
    <w:p w14:paraId="2094D858" w14:textId="77777777" w:rsidR="00DD3D82"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本債券持有人或債權人不得要求提前償還。本行如進行清算、重整程序或宣告破產，自清算</w:t>
      </w:r>
      <w:r>
        <w:rPr>
          <w:rFonts w:ascii="Arial" w:eastAsia="標楷體" w:hAnsi="Arial" w:cs="Arial" w:hint="eastAsia"/>
        </w:rPr>
        <w:t>、</w:t>
      </w:r>
      <w:r w:rsidRPr="00570E49">
        <w:rPr>
          <w:rFonts w:ascii="Arial" w:eastAsia="標楷體" w:hAnsi="Arial" w:cs="Arial"/>
        </w:rPr>
        <w:t>重整程序開始日或宣告破產之日起，本債券將停止計息，且本息視為已到期，債券持有人或債權人並應放棄行使抵銷權。</w:t>
      </w:r>
    </w:p>
    <w:p w14:paraId="093C71ED" w14:textId="77777777" w:rsidR="00DD3D82"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本債券辦理轉讓、提供擔保、註銷及其他帳簿劃撥等相關作業，悉依臺灣集中保管結算所股份有限公司相關規定辦理，相關費用由申請人自行負擔。</w:t>
      </w:r>
    </w:p>
    <w:p w14:paraId="6EEB4F49" w14:textId="77777777" w:rsidR="00DD3D82" w:rsidRPr="00570E49" w:rsidRDefault="00DD3D82" w:rsidP="00DD3D82">
      <w:pPr>
        <w:numPr>
          <w:ilvl w:val="1"/>
          <w:numId w:val="24"/>
        </w:numPr>
        <w:tabs>
          <w:tab w:val="left" w:pos="720"/>
        </w:tabs>
        <w:ind w:left="1202" w:hanging="720"/>
        <w:jc w:val="both"/>
        <w:rPr>
          <w:rFonts w:ascii="Arial" w:eastAsia="標楷體" w:hAnsi="Arial" w:cs="Arial"/>
        </w:rPr>
      </w:pPr>
      <w:r w:rsidRPr="00570E49">
        <w:rPr>
          <w:rFonts w:ascii="Arial" w:eastAsia="標楷體" w:hAnsi="Arial" w:cs="Arial"/>
        </w:rPr>
        <w:t>本發行辦法未盡事宜，悉依主管機關</w:t>
      </w:r>
      <w:r>
        <w:rPr>
          <w:rFonts w:ascii="Arial" w:eastAsia="標楷體" w:hAnsi="Arial" w:cs="Arial" w:hint="eastAsia"/>
        </w:rPr>
        <w:t>之</w:t>
      </w:r>
      <w:r w:rsidRPr="00570E49">
        <w:rPr>
          <w:rFonts w:ascii="Arial" w:eastAsia="標楷體" w:hAnsi="Arial" w:cs="Arial"/>
        </w:rPr>
        <w:t>相關法令辦理。</w:t>
      </w:r>
    </w:p>
    <w:p w14:paraId="544D9A94" w14:textId="77777777" w:rsidR="00040672" w:rsidRPr="00570E49" w:rsidRDefault="00040672" w:rsidP="00040672">
      <w:pPr>
        <w:ind w:left="180"/>
        <w:rPr>
          <w:rFonts w:ascii="Arial" w:eastAsia="標楷體" w:hAnsi="Arial" w:cs="Arial"/>
        </w:rPr>
      </w:pPr>
    </w:p>
    <w:p w14:paraId="403011BB" w14:textId="77777777" w:rsidR="005D4C71" w:rsidRPr="00570E49" w:rsidRDefault="005D4C71" w:rsidP="00181E8C">
      <w:pPr>
        <w:pStyle w:val="3"/>
        <w:spacing w:after="0"/>
        <w:ind w:left="2636" w:hanging="2156"/>
        <w:jc w:val="center"/>
        <w:rPr>
          <w:rFonts w:ascii="Arial" w:eastAsia="標楷體" w:hAnsi="Arial" w:cs="Arial"/>
          <w:sz w:val="24"/>
          <w:szCs w:val="24"/>
        </w:rPr>
      </w:pPr>
    </w:p>
    <w:p w14:paraId="0DA0E8B8" w14:textId="77777777" w:rsidR="000072EE" w:rsidRDefault="000072EE" w:rsidP="00181E8C">
      <w:pPr>
        <w:pStyle w:val="3"/>
        <w:spacing w:after="0"/>
        <w:ind w:left="2636" w:hanging="2156"/>
        <w:jc w:val="center"/>
        <w:rPr>
          <w:rFonts w:ascii="Arial" w:eastAsia="標楷體" w:hAnsi="Arial" w:cs="Arial"/>
          <w:sz w:val="24"/>
          <w:szCs w:val="24"/>
        </w:rPr>
      </w:pPr>
    </w:p>
    <w:p w14:paraId="710C9EA7" w14:textId="77777777" w:rsidR="000072EE" w:rsidRDefault="000072EE" w:rsidP="00181E8C">
      <w:pPr>
        <w:pStyle w:val="3"/>
        <w:spacing w:after="0"/>
        <w:ind w:left="2636" w:hanging="2156"/>
        <w:jc w:val="center"/>
        <w:rPr>
          <w:rFonts w:ascii="Arial" w:eastAsia="標楷體" w:hAnsi="Arial" w:cs="Arial"/>
          <w:sz w:val="24"/>
          <w:szCs w:val="24"/>
        </w:rPr>
      </w:pPr>
    </w:p>
    <w:p w14:paraId="0C2F5545" w14:textId="77777777" w:rsidR="000072EE" w:rsidRDefault="000072EE" w:rsidP="00181E8C">
      <w:pPr>
        <w:pStyle w:val="3"/>
        <w:spacing w:after="0"/>
        <w:ind w:left="2636" w:hanging="2156"/>
        <w:jc w:val="center"/>
        <w:rPr>
          <w:rFonts w:ascii="Arial" w:eastAsia="標楷體" w:hAnsi="Arial" w:cs="Arial"/>
          <w:sz w:val="24"/>
          <w:szCs w:val="24"/>
        </w:rPr>
      </w:pPr>
    </w:p>
    <w:p w14:paraId="0EE7016D" w14:textId="77777777" w:rsidR="000072EE" w:rsidRDefault="000072EE" w:rsidP="00181E8C">
      <w:pPr>
        <w:pStyle w:val="3"/>
        <w:spacing w:after="0"/>
        <w:ind w:left="2636" w:hanging="2156"/>
        <w:jc w:val="center"/>
        <w:rPr>
          <w:rFonts w:ascii="Arial" w:eastAsia="標楷體" w:hAnsi="Arial" w:cs="Arial"/>
          <w:sz w:val="24"/>
          <w:szCs w:val="24"/>
        </w:rPr>
      </w:pPr>
    </w:p>
    <w:p w14:paraId="363C6972" w14:textId="77777777" w:rsidR="00181E8C" w:rsidRPr="00570E49" w:rsidRDefault="00181E8C" w:rsidP="00181E8C">
      <w:pPr>
        <w:pStyle w:val="3"/>
        <w:spacing w:after="0"/>
        <w:ind w:left="2636" w:hanging="2156"/>
        <w:jc w:val="center"/>
        <w:rPr>
          <w:rFonts w:ascii="Arial" w:eastAsia="標楷體" w:hAnsi="Arial" w:cs="Arial"/>
          <w:sz w:val="24"/>
          <w:szCs w:val="24"/>
        </w:rPr>
      </w:pPr>
    </w:p>
    <w:p w14:paraId="46A605CB" w14:textId="77777777" w:rsidR="00181E8C" w:rsidRPr="00570E49" w:rsidRDefault="00181E8C" w:rsidP="00181E8C">
      <w:pPr>
        <w:pStyle w:val="3"/>
        <w:spacing w:after="0"/>
        <w:ind w:left="2636" w:hanging="2156"/>
        <w:jc w:val="center"/>
        <w:rPr>
          <w:rFonts w:ascii="Arial" w:eastAsia="標楷體" w:hAnsi="Arial" w:cs="Arial"/>
          <w:sz w:val="24"/>
          <w:szCs w:val="24"/>
        </w:rPr>
      </w:pPr>
      <w:r w:rsidRPr="00570E49">
        <w:rPr>
          <w:rFonts w:ascii="Arial" w:eastAsia="標楷體" w:hAnsi="Arial" w:cs="Arial"/>
          <w:sz w:val="24"/>
          <w:szCs w:val="24"/>
        </w:rPr>
        <w:t>發行人：台北富邦商業銀行股份有限公司</w:t>
      </w:r>
    </w:p>
    <w:p w14:paraId="6A39233F" w14:textId="77777777" w:rsidR="00181E8C" w:rsidRPr="00570E49" w:rsidRDefault="00181E8C" w:rsidP="00181E8C">
      <w:pPr>
        <w:pStyle w:val="3"/>
        <w:spacing w:after="0"/>
        <w:ind w:left="2636" w:hanging="2156"/>
        <w:jc w:val="center"/>
        <w:rPr>
          <w:rFonts w:ascii="Arial" w:eastAsia="標楷體" w:hAnsi="Arial" w:cs="Arial"/>
          <w:sz w:val="24"/>
          <w:szCs w:val="24"/>
        </w:rPr>
      </w:pPr>
      <w:r w:rsidRPr="00570E49">
        <w:rPr>
          <w:rFonts w:ascii="Arial" w:eastAsia="標楷體" w:hAnsi="Arial" w:cs="Arial"/>
          <w:sz w:val="24"/>
          <w:szCs w:val="24"/>
        </w:rPr>
        <w:t>負責人：董事長</w:t>
      </w:r>
      <w:r w:rsidR="00DD3D82">
        <w:rPr>
          <w:rFonts w:ascii="Arial" w:eastAsia="標楷體" w:hAnsi="Arial" w:cs="Arial" w:hint="eastAsia"/>
          <w:sz w:val="24"/>
          <w:szCs w:val="24"/>
        </w:rPr>
        <w:tab/>
      </w:r>
      <w:r w:rsidR="005D4C71" w:rsidRPr="00570E49">
        <w:rPr>
          <w:rFonts w:ascii="Arial" w:eastAsia="標楷體" w:hAnsi="Arial" w:cs="Arial"/>
          <w:sz w:val="24"/>
          <w:szCs w:val="24"/>
        </w:rPr>
        <w:t>陳</w:t>
      </w:r>
      <w:r w:rsidR="005D4C71" w:rsidRPr="00570E49">
        <w:rPr>
          <w:rFonts w:ascii="Arial" w:eastAsia="標楷體" w:hAnsi="Arial" w:cs="Arial"/>
          <w:sz w:val="24"/>
          <w:szCs w:val="24"/>
        </w:rPr>
        <w:t xml:space="preserve"> </w:t>
      </w:r>
      <w:r w:rsidR="005D4C71" w:rsidRPr="00570E49">
        <w:rPr>
          <w:rFonts w:ascii="Arial" w:eastAsia="標楷體" w:hAnsi="Arial" w:cs="Arial"/>
          <w:sz w:val="24"/>
          <w:szCs w:val="24"/>
        </w:rPr>
        <w:t>聖</w:t>
      </w:r>
      <w:r w:rsidR="005D4C71" w:rsidRPr="00570E49">
        <w:rPr>
          <w:rFonts w:ascii="Arial" w:eastAsia="標楷體" w:hAnsi="Arial" w:cs="Arial"/>
          <w:sz w:val="24"/>
          <w:szCs w:val="24"/>
        </w:rPr>
        <w:t xml:space="preserve"> </w:t>
      </w:r>
      <w:r w:rsidRPr="00570E49">
        <w:rPr>
          <w:rFonts w:ascii="Arial" w:eastAsia="標楷體" w:hAnsi="Arial" w:cs="Arial"/>
          <w:sz w:val="24"/>
          <w:szCs w:val="24"/>
        </w:rPr>
        <w:t>德</w:t>
      </w:r>
    </w:p>
    <w:p w14:paraId="2D0A144F" w14:textId="77777777" w:rsidR="00181E8C" w:rsidRPr="00570E49" w:rsidRDefault="00181E8C" w:rsidP="00181E8C">
      <w:pPr>
        <w:pStyle w:val="3"/>
        <w:spacing w:after="0"/>
        <w:ind w:left="2636" w:hanging="2156"/>
        <w:jc w:val="center"/>
        <w:rPr>
          <w:rFonts w:ascii="Arial" w:eastAsia="標楷體" w:hAnsi="Arial" w:cs="Arial"/>
          <w:sz w:val="24"/>
          <w:szCs w:val="24"/>
        </w:rPr>
      </w:pPr>
    </w:p>
    <w:p w14:paraId="5EF44698" w14:textId="77777777" w:rsidR="00181E8C" w:rsidRPr="00570E49" w:rsidRDefault="00181E8C" w:rsidP="00181E8C">
      <w:pPr>
        <w:pStyle w:val="3"/>
        <w:spacing w:after="0"/>
        <w:ind w:left="2636" w:hanging="2156"/>
        <w:jc w:val="center"/>
        <w:rPr>
          <w:rFonts w:ascii="Arial" w:eastAsia="標楷體" w:hAnsi="Arial" w:cs="Arial"/>
          <w:sz w:val="24"/>
          <w:szCs w:val="24"/>
        </w:rPr>
      </w:pPr>
    </w:p>
    <w:p w14:paraId="5C4510EE" w14:textId="77777777" w:rsidR="00D82286" w:rsidRPr="00570E49" w:rsidRDefault="00D82286" w:rsidP="00181E8C">
      <w:pPr>
        <w:pStyle w:val="3"/>
        <w:spacing w:after="0"/>
        <w:ind w:left="2636" w:hanging="2156"/>
        <w:jc w:val="center"/>
        <w:rPr>
          <w:rFonts w:ascii="Arial" w:eastAsia="標楷體" w:hAnsi="Arial" w:cs="Arial"/>
          <w:sz w:val="24"/>
          <w:szCs w:val="24"/>
        </w:rPr>
      </w:pPr>
    </w:p>
    <w:p w14:paraId="60A760E3" w14:textId="77777777" w:rsidR="005D4C71" w:rsidRDefault="005D4C71" w:rsidP="00181E8C">
      <w:pPr>
        <w:pStyle w:val="3"/>
        <w:spacing w:after="0"/>
        <w:ind w:left="2636" w:hanging="2156"/>
        <w:jc w:val="center"/>
        <w:rPr>
          <w:rFonts w:ascii="Arial" w:eastAsia="標楷體" w:hAnsi="Arial" w:cs="Arial"/>
          <w:sz w:val="24"/>
          <w:szCs w:val="24"/>
        </w:rPr>
      </w:pPr>
    </w:p>
    <w:p w14:paraId="103CC9EC" w14:textId="77777777" w:rsidR="000072EE" w:rsidRDefault="000072EE" w:rsidP="00181E8C">
      <w:pPr>
        <w:pStyle w:val="3"/>
        <w:spacing w:after="0"/>
        <w:ind w:left="2636" w:hanging="2156"/>
        <w:jc w:val="center"/>
        <w:rPr>
          <w:rFonts w:ascii="Arial" w:eastAsia="標楷體" w:hAnsi="Arial" w:cs="Arial"/>
          <w:sz w:val="24"/>
          <w:szCs w:val="24"/>
        </w:rPr>
      </w:pPr>
    </w:p>
    <w:p w14:paraId="071B13F7" w14:textId="77777777" w:rsidR="000072EE" w:rsidRDefault="000072EE" w:rsidP="00181E8C">
      <w:pPr>
        <w:pStyle w:val="3"/>
        <w:spacing w:after="0"/>
        <w:ind w:left="2636" w:hanging="2156"/>
        <w:jc w:val="center"/>
        <w:rPr>
          <w:rFonts w:ascii="Arial" w:eastAsia="標楷體" w:hAnsi="Arial" w:cs="Arial"/>
          <w:sz w:val="24"/>
          <w:szCs w:val="24"/>
        </w:rPr>
      </w:pPr>
    </w:p>
    <w:p w14:paraId="34D9AB2B" w14:textId="77777777" w:rsidR="000072EE" w:rsidRDefault="000072EE" w:rsidP="00181E8C">
      <w:pPr>
        <w:pStyle w:val="3"/>
        <w:spacing w:after="0"/>
        <w:ind w:left="2636" w:hanging="2156"/>
        <w:jc w:val="center"/>
        <w:rPr>
          <w:rFonts w:ascii="Arial" w:eastAsia="標楷體" w:hAnsi="Arial" w:cs="Arial"/>
          <w:sz w:val="24"/>
          <w:szCs w:val="24"/>
        </w:rPr>
      </w:pPr>
    </w:p>
    <w:p w14:paraId="1D88728E" w14:textId="77777777" w:rsidR="000072EE" w:rsidRPr="00570E49" w:rsidRDefault="000072EE" w:rsidP="00181E8C">
      <w:pPr>
        <w:pStyle w:val="3"/>
        <w:spacing w:after="0"/>
        <w:ind w:left="2636" w:hanging="2156"/>
        <w:jc w:val="center"/>
        <w:rPr>
          <w:rFonts w:ascii="Arial" w:eastAsia="標楷體" w:hAnsi="Arial" w:cs="Arial"/>
          <w:sz w:val="24"/>
          <w:szCs w:val="24"/>
        </w:rPr>
      </w:pPr>
    </w:p>
    <w:p w14:paraId="169F7493" w14:textId="77777777" w:rsidR="00181E8C" w:rsidRPr="00570E49" w:rsidRDefault="00181E8C" w:rsidP="00181E8C">
      <w:pPr>
        <w:pStyle w:val="3"/>
        <w:spacing w:after="0"/>
        <w:ind w:left="2636" w:hanging="2156"/>
        <w:jc w:val="center"/>
        <w:rPr>
          <w:rFonts w:ascii="Arial" w:eastAsia="標楷體" w:hAnsi="Arial" w:cs="Arial"/>
          <w:sz w:val="24"/>
          <w:szCs w:val="24"/>
        </w:rPr>
      </w:pPr>
    </w:p>
    <w:p w14:paraId="7E47EDB6" w14:textId="77777777" w:rsidR="00181E8C" w:rsidRPr="00570E49" w:rsidRDefault="00181E8C" w:rsidP="00181E8C">
      <w:pPr>
        <w:pStyle w:val="3"/>
        <w:spacing w:after="0"/>
        <w:ind w:left="2636" w:hanging="2156"/>
        <w:jc w:val="center"/>
        <w:rPr>
          <w:rFonts w:ascii="Arial" w:eastAsia="標楷體" w:hAnsi="Arial" w:cs="Arial"/>
          <w:sz w:val="24"/>
          <w:szCs w:val="24"/>
        </w:rPr>
      </w:pPr>
    </w:p>
    <w:p w14:paraId="53631F44" w14:textId="39E08922" w:rsidR="007E6EF2" w:rsidRDefault="007E6EF2" w:rsidP="007E6EF2">
      <w:pPr>
        <w:pStyle w:val="3"/>
        <w:ind w:leftChars="0" w:left="2636" w:hanging="2156"/>
        <w:jc w:val="distribute"/>
        <w:rPr>
          <w:rFonts w:eastAsia="標楷體"/>
          <w:sz w:val="24"/>
          <w:szCs w:val="24"/>
        </w:rPr>
      </w:pPr>
      <w:r>
        <w:rPr>
          <w:rFonts w:eastAsia="標楷體" w:hint="eastAsia"/>
          <w:sz w:val="24"/>
          <w:szCs w:val="24"/>
        </w:rPr>
        <w:t>中華民國一一○年</w:t>
      </w:r>
      <w:r>
        <w:rPr>
          <w:rFonts w:eastAsia="標楷體" w:hint="eastAsia"/>
          <w:sz w:val="24"/>
          <w:szCs w:val="24"/>
        </w:rPr>
        <w:t xml:space="preserve"> </w:t>
      </w:r>
      <w:r>
        <w:rPr>
          <w:rFonts w:eastAsia="標楷體" w:hint="eastAsia"/>
          <w:sz w:val="24"/>
          <w:szCs w:val="24"/>
          <w:lang w:eastAsia="zh-HK"/>
        </w:rPr>
        <w:t>九</w:t>
      </w:r>
      <w:r>
        <w:rPr>
          <w:rFonts w:eastAsia="標楷體" w:hint="eastAsia"/>
          <w:sz w:val="24"/>
          <w:szCs w:val="24"/>
        </w:rPr>
        <w:t xml:space="preserve"> </w:t>
      </w:r>
      <w:r>
        <w:rPr>
          <w:rFonts w:eastAsia="標楷體" w:hint="eastAsia"/>
          <w:sz w:val="24"/>
          <w:szCs w:val="24"/>
        </w:rPr>
        <w:t>月</w:t>
      </w:r>
      <w:r>
        <w:rPr>
          <w:rFonts w:eastAsia="標楷體" w:hint="eastAsia"/>
          <w:sz w:val="24"/>
          <w:szCs w:val="24"/>
          <w:lang w:eastAsia="zh-HK"/>
        </w:rPr>
        <w:t>二</w:t>
      </w:r>
      <w:r>
        <w:rPr>
          <w:rFonts w:eastAsia="標楷體" w:hint="eastAsia"/>
          <w:sz w:val="24"/>
          <w:szCs w:val="24"/>
          <w:lang w:eastAsia="zh-HK"/>
        </w:rPr>
        <w:t xml:space="preserve"> </w:t>
      </w:r>
      <w:r>
        <w:rPr>
          <w:rFonts w:eastAsia="標楷體" w:hint="eastAsia"/>
          <w:sz w:val="24"/>
          <w:szCs w:val="24"/>
        </w:rPr>
        <w:t>日</w:t>
      </w:r>
    </w:p>
    <w:p w14:paraId="05238EE4" w14:textId="264DD830" w:rsidR="00181E8C" w:rsidRPr="00570E49" w:rsidRDefault="00181E8C" w:rsidP="007E6EF2">
      <w:pPr>
        <w:pStyle w:val="3"/>
        <w:spacing w:after="0"/>
        <w:ind w:left="2636" w:hanging="2156"/>
        <w:jc w:val="center"/>
        <w:rPr>
          <w:rFonts w:ascii="Arial" w:eastAsia="標楷體" w:hAnsi="Arial" w:cs="Arial"/>
          <w:sz w:val="24"/>
          <w:szCs w:val="24"/>
        </w:rPr>
      </w:pPr>
    </w:p>
    <w:sectPr w:rsidR="00181E8C" w:rsidRPr="00570E49" w:rsidSect="005D4C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B721" w14:textId="77777777" w:rsidR="0012210E" w:rsidRDefault="0012210E" w:rsidP="006C5C84">
      <w:r>
        <w:separator/>
      </w:r>
    </w:p>
  </w:endnote>
  <w:endnote w:type="continuationSeparator" w:id="0">
    <w:p w14:paraId="391FF0EB" w14:textId="77777777" w:rsidR="0012210E" w:rsidRDefault="0012210E" w:rsidP="006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9F59" w14:textId="77777777" w:rsidR="0012210E" w:rsidRDefault="0012210E" w:rsidP="006C5C84">
      <w:r>
        <w:separator/>
      </w:r>
    </w:p>
  </w:footnote>
  <w:footnote w:type="continuationSeparator" w:id="0">
    <w:p w14:paraId="5A7B9087" w14:textId="77777777" w:rsidR="0012210E" w:rsidRDefault="0012210E" w:rsidP="006C5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E2F9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A6090"/>
    <w:multiLevelType w:val="hybridMultilevel"/>
    <w:tmpl w:val="73E6BD28"/>
    <w:lvl w:ilvl="0" w:tplc="10FE66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2385E44"/>
    <w:multiLevelType w:val="hybridMultilevel"/>
    <w:tmpl w:val="C7B6158A"/>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EE147B"/>
    <w:multiLevelType w:val="hybridMultilevel"/>
    <w:tmpl w:val="8432E95E"/>
    <w:lvl w:ilvl="0" w:tplc="791EFF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51058B"/>
    <w:multiLevelType w:val="hybridMultilevel"/>
    <w:tmpl w:val="A40AAA64"/>
    <w:lvl w:ilvl="0" w:tplc="EDB6EE0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913BFD"/>
    <w:multiLevelType w:val="hybridMultilevel"/>
    <w:tmpl w:val="120E188C"/>
    <w:lvl w:ilvl="0" w:tplc="952056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8F51AA"/>
    <w:multiLevelType w:val="hybridMultilevel"/>
    <w:tmpl w:val="4816079A"/>
    <w:lvl w:ilvl="0" w:tplc="BD4EDE5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C00B0F"/>
    <w:multiLevelType w:val="hybridMultilevel"/>
    <w:tmpl w:val="C7B6158A"/>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215F90"/>
    <w:multiLevelType w:val="hybridMultilevel"/>
    <w:tmpl w:val="A51466D8"/>
    <w:lvl w:ilvl="0" w:tplc="D7601F5E">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2752279E"/>
    <w:multiLevelType w:val="hybridMultilevel"/>
    <w:tmpl w:val="245C2F3A"/>
    <w:lvl w:ilvl="0" w:tplc="DFC2B6F8">
      <w:start w:val="1"/>
      <w:numFmt w:val="taiwaneseCountingThousand"/>
      <w:lvlText w:val="%1、"/>
      <w:lvlJc w:val="left"/>
      <w:pPr>
        <w:tabs>
          <w:tab w:val="num" w:pos="480"/>
        </w:tabs>
        <w:ind w:left="480" w:hanging="480"/>
      </w:pPr>
      <w:rPr>
        <w:rFonts w:hint="default"/>
        <w:lang w:val="en-US"/>
      </w:rPr>
    </w:lvl>
    <w:lvl w:ilvl="1" w:tplc="31805672">
      <w:start w:val="1"/>
      <w:numFmt w:val="taiwaneseCountingThousand"/>
      <w:lvlText w:val="%2"/>
      <w:lvlJc w:val="left"/>
      <w:pPr>
        <w:tabs>
          <w:tab w:val="num" w:pos="915"/>
        </w:tabs>
        <w:ind w:left="915" w:hanging="435"/>
      </w:pPr>
      <w:rPr>
        <w:rFonts w:hint="default"/>
        <w:lang w:val="en-US"/>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317037"/>
    <w:multiLevelType w:val="hybridMultilevel"/>
    <w:tmpl w:val="21B468BE"/>
    <w:lvl w:ilvl="0" w:tplc="EDB6EE0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34D507F"/>
    <w:multiLevelType w:val="hybridMultilevel"/>
    <w:tmpl w:val="48F67982"/>
    <w:lvl w:ilvl="0" w:tplc="0409000F">
      <w:start w:val="1"/>
      <w:numFmt w:val="decimal"/>
      <w:lvlText w:val="%1."/>
      <w:lvlJc w:val="left"/>
      <w:pPr>
        <w:ind w:left="2396" w:hanging="480"/>
      </w:p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12" w15:restartNumberingAfterBreak="0">
    <w:nsid w:val="37045497"/>
    <w:multiLevelType w:val="hybridMultilevel"/>
    <w:tmpl w:val="C7B6158A"/>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C118B9"/>
    <w:multiLevelType w:val="hybridMultilevel"/>
    <w:tmpl w:val="18E46898"/>
    <w:lvl w:ilvl="0" w:tplc="9E468AE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CE4548"/>
    <w:multiLevelType w:val="hybridMultilevel"/>
    <w:tmpl w:val="04F6CE92"/>
    <w:lvl w:ilvl="0" w:tplc="4DA878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D917ED"/>
    <w:multiLevelType w:val="hybridMultilevel"/>
    <w:tmpl w:val="611E140A"/>
    <w:lvl w:ilvl="0" w:tplc="172662B4">
      <w:start w:val="1"/>
      <w:numFmt w:val="taiwaneseCountingThousand"/>
      <w:lvlText w:val="%1、"/>
      <w:lvlJc w:val="left"/>
      <w:pPr>
        <w:ind w:left="600" w:hanging="600"/>
      </w:pPr>
      <w:rPr>
        <w:rFonts w:cs="Times New Roman" w:hint="default"/>
        <w:lang w:val="en-US"/>
      </w:rPr>
    </w:lvl>
    <w:lvl w:ilvl="1" w:tplc="3FE20FC6">
      <w:start w:val="1"/>
      <w:numFmt w:val="taiwaneseCountingThousand"/>
      <w:suff w:val="nothing"/>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DEE65F0"/>
    <w:multiLevelType w:val="hybridMultilevel"/>
    <w:tmpl w:val="FE70BD1C"/>
    <w:lvl w:ilvl="0" w:tplc="8F202D0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1231D8"/>
    <w:multiLevelType w:val="hybridMultilevel"/>
    <w:tmpl w:val="90F8F28E"/>
    <w:lvl w:ilvl="0" w:tplc="10FE66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AD7E2A"/>
    <w:multiLevelType w:val="hybridMultilevel"/>
    <w:tmpl w:val="7B8E7E16"/>
    <w:lvl w:ilvl="0" w:tplc="BD4EDE5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BA5186C"/>
    <w:multiLevelType w:val="hybridMultilevel"/>
    <w:tmpl w:val="EEE2E8FA"/>
    <w:lvl w:ilvl="0" w:tplc="0409000F">
      <w:start w:val="1"/>
      <w:numFmt w:val="decimal"/>
      <w:lvlText w:val="%1."/>
      <w:lvlJc w:val="left"/>
      <w:pPr>
        <w:ind w:left="2396" w:hanging="480"/>
      </w:p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20" w15:restartNumberingAfterBreak="0">
    <w:nsid w:val="5BF3456B"/>
    <w:multiLevelType w:val="hybridMultilevel"/>
    <w:tmpl w:val="A75E6250"/>
    <w:lvl w:ilvl="0" w:tplc="BD4EDE5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CDA621D"/>
    <w:multiLevelType w:val="hybridMultilevel"/>
    <w:tmpl w:val="1E447C54"/>
    <w:lvl w:ilvl="0" w:tplc="1A6289DC">
      <w:start w:val="1"/>
      <w:numFmt w:val="taiwaneseCountingThousand"/>
      <w:lvlText w:val="（%1）"/>
      <w:lvlJc w:val="left"/>
      <w:pPr>
        <w:tabs>
          <w:tab w:val="num" w:pos="3556"/>
        </w:tabs>
        <w:ind w:left="3556"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7C5553"/>
    <w:multiLevelType w:val="hybridMultilevel"/>
    <w:tmpl w:val="D1402892"/>
    <w:lvl w:ilvl="0" w:tplc="EFD2CAB8">
      <w:start w:val="1"/>
      <w:numFmt w:val="taiwaneseCountingThousand"/>
      <w:lvlText w:val="（%1）"/>
      <w:lvlJc w:val="left"/>
      <w:pPr>
        <w:tabs>
          <w:tab w:val="num" w:pos="1260"/>
        </w:tabs>
        <w:ind w:left="126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BD1654"/>
    <w:multiLevelType w:val="hybridMultilevel"/>
    <w:tmpl w:val="B41AE3D0"/>
    <w:lvl w:ilvl="0" w:tplc="EDB6EE08">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15:restartNumberingAfterBreak="0">
    <w:nsid w:val="6CDB596F"/>
    <w:multiLevelType w:val="hybridMultilevel"/>
    <w:tmpl w:val="CAFE0BD2"/>
    <w:lvl w:ilvl="0" w:tplc="8F202D00">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15:restartNumberingAfterBreak="0">
    <w:nsid w:val="6E0B69DD"/>
    <w:multiLevelType w:val="hybridMultilevel"/>
    <w:tmpl w:val="0D445A36"/>
    <w:lvl w:ilvl="0" w:tplc="04090015">
      <w:start w:val="1"/>
      <w:numFmt w:val="taiwaneseCountingThousand"/>
      <w:lvlText w:val="%1、"/>
      <w:lvlJc w:val="left"/>
      <w:pPr>
        <w:tabs>
          <w:tab w:val="num" w:pos="480"/>
        </w:tabs>
        <w:ind w:left="480" w:hanging="480"/>
      </w:pPr>
      <w:rPr>
        <w:rFonts w:hint="default"/>
      </w:rPr>
    </w:lvl>
    <w:lvl w:ilvl="1" w:tplc="5BF42072">
      <w:start w:val="1"/>
      <w:numFmt w:val="taiwaneseCountingThousand"/>
      <w:lvlText w:val="(%2)"/>
      <w:lvlJc w:val="left"/>
      <w:pPr>
        <w:tabs>
          <w:tab w:val="num" w:pos="840"/>
        </w:tabs>
        <w:ind w:left="840" w:hanging="360"/>
      </w:pPr>
      <w:rPr>
        <w:rFonts w:hint="default"/>
      </w:rPr>
    </w:lvl>
    <w:lvl w:ilvl="2" w:tplc="4C5E32D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2807463"/>
    <w:multiLevelType w:val="hybridMultilevel"/>
    <w:tmpl w:val="005646E6"/>
    <w:lvl w:ilvl="0" w:tplc="8F202D00">
      <w:start w:val="1"/>
      <w:numFmt w:val="taiwaneseCountingThousand"/>
      <w:lvlText w:val="（%1）"/>
      <w:lvlJc w:val="left"/>
      <w:pPr>
        <w:tabs>
          <w:tab w:val="num" w:pos="900"/>
        </w:tabs>
        <w:ind w:left="900" w:hanging="720"/>
      </w:pPr>
      <w:rPr>
        <w:rFonts w:hint="default"/>
      </w:rPr>
    </w:lvl>
    <w:lvl w:ilvl="1" w:tplc="04090019">
      <w:start w:val="1"/>
      <w:numFmt w:val="ideographTraditional"/>
      <w:lvlText w:val="%2、"/>
      <w:lvlJc w:val="left"/>
      <w:pPr>
        <w:tabs>
          <w:tab w:val="num" w:pos="600"/>
        </w:tabs>
        <w:ind w:left="600" w:hanging="480"/>
      </w:pPr>
    </w:lvl>
    <w:lvl w:ilvl="2" w:tplc="3E0CC508">
      <w:start w:val="1"/>
      <w:numFmt w:val="decimal"/>
      <w:lvlText w:val="(%3)"/>
      <w:lvlJc w:val="right"/>
      <w:pPr>
        <w:tabs>
          <w:tab w:val="num" w:pos="1080"/>
        </w:tabs>
        <w:ind w:left="1080" w:hanging="480"/>
      </w:pPr>
      <w:rPr>
        <w:rFonts w:cs="Times New Roman" w:hint="eastAsia"/>
      </w:r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7" w15:restartNumberingAfterBreak="0">
    <w:nsid w:val="72E21053"/>
    <w:multiLevelType w:val="hybridMultilevel"/>
    <w:tmpl w:val="B29C7D9C"/>
    <w:lvl w:ilvl="0" w:tplc="F5B6EE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5AA3DBB"/>
    <w:multiLevelType w:val="hybridMultilevel"/>
    <w:tmpl w:val="5B2ACB42"/>
    <w:lvl w:ilvl="0" w:tplc="3DA65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94E7B0C"/>
    <w:multiLevelType w:val="hybridMultilevel"/>
    <w:tmpl w:val="717AD45A"/>
    <w:lvl w:ilvl="0" w:tplc="3DA65346">
      <w:start w:val="1"/>
      <w:numFmt w:val="decimal"/>
      <w:lvlText w:val="%1."/>
      <w:lvlJc w:val="left"/>
      <w:pPr>
        <w:ind w:left="2276" w:hanging="360"/>
      </w:pPr>
      <w:rPr>
        <w:rFonts w:hint="default"/>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30" w15:restartNumberingAfterBreak="0">
    <w:nsid w:val="7B651DCC"/>
    <w:multiLevelType w:val="hybridMultilevel"/>
    <w:tmpl w:val="B61E21F2"/>
    <w:lvl w:ilvl="0" w:tplc="BE3ECB6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23"/>
  </w:num>
  <w:num w:numId="3">
    <w:abstractNumId w:val="24"/>
  </w:num>
  <w:num w:numId="4">
    <w:abstractNumId w:val="3"/>
  </w:num>
  <w:num w:numId="5">
    <w:abstractNumId w:val="27"/>
  </w:num>
  <w:num w:numId="6">
    <w:abstractNumId w:val="17"/>
  </w:num>
  <w:num w:numId="7">
    <w:abstractNumId w:val="18"/>
  </w:num>
  <w:num w:numId="8">
    <w:abstractNumId w:val="13"/>
  </w:num>
  <w:num w:numId="9">
    <w:abstractNumId w:val="5"/>
  </w:num>
  <w:num w:numId="10">
    <w:abstractNumId w:val="14"/>
  </w:num>
  <w:num w:numId="11">
    <w:abstractNumId w:val="30"/>
  </w:num>
  <w:num w:numId="12">
    <w:abstractNumId w:val="16"/>
  </w:num>
  <w:num w:numId="13">
    <w:abstractNumId w:val="26"/>
  </w:num>
  <w:num w:numId="14">
    <w:abstractNumId w:val="6"/>
  </w:num>
  <w:num w:numId="15">
    <w:abstractNumId w:val="4"/>
  </w:num>
  <w:num w:numId="16">
    <w:abstractNumId w:val="22"/>
  </w:num>
  <w:num w:numId="17">
    <w:abstractNumId w:val="20"/>
  </w:num>
  <w:num w:numId="18">
    <w:abstractNumId w:val="21"/>
  </w:num>
  <w:num w:numId="19">
    <w:abstractNumId w:val="1"/>
  </w:num>
  <w:num w:numId="20">
    <w:abstractNumId w:val="12"/>
  </w:num>
  <w:num w:numId="21">
    <w:abstractNumId w:val="7"/>
  </w:num>
  <w:num w:numId="22">
    <w:abstractNumId w:val="2"/>
  </w:num>
  <w:num w:numId="23">
    <w:abstractNumId w:val="10"/>
  </w:num>
  <w:num w:numId="24">
    <w:abstractNumId w:val="15"/>
  </w:num>
  <w:num w:numId="25">
    <w:abstractNumId w:val="19"/>
  </w:num>
  <w:num w:numId="26">
    <w:abstractNumId w:val="11"/>
  </w:num>
  <w:num w:numId="27">
    <w:abstractNumId w:val="28"/>
  </w:num>
  <w:num w:numId="28">
    <w:abstractNumId w:val="29"/>
  </w:num>
  <w:num w:numId="29">
    <w:abstractNumId w:val="25"/>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65"/>
    <w:rsid w:val="000051E5"/>
    <w:rsid w:val="000072EE"/>
    <w:rsid w:val="00021C97"/>
    <w:rsid w:val="000220CC"/>
    <w:rsid w:val="00023F22"/>
    <w:rsid w:val="00025618"/>
    <w:rsid w:val="00031C7B"/>
    <w:rsid w:val="00036F66"/>
    <w:rsid w:val="0004031B"/>
    <w:rsid w:val="00040672"/>
    <w:rsid w:val="000518C5"/>
    <w:rsid w:val="00060998"/>
    <w:rsid w:val="0006376C"/>
    <w:rsid w:val="00065FC3"/>
    <w:rsid w:val="00073D98"/>
    <w:rsid w:val="00080FC7"/>
    <w:rsid w:val="00084B30"/>
    <w:rsid w:val="00085776"/>
    <w:rsid w:val="000A030E"/>
    <w:rsid w:val="000A7221"/>
    <w:rsid w:val="000A74DA"/>
    <w:rsid w:val="000B190B"/>
    <w:rsid w:val="000B26C7"/>
    <w:rsid w:val="000D35CF"/>
    <w:rsid w:val="000D3F6C"/>
    <w:rsid w:val="000D628B"/>
    <w:rsid w:val="000E5DBD"/>
    <w:rsid w:val="000E76F8"/>
    <w:rsid w:val="0010276D"/>
    <w:rsid w:val="0011115E"/>
    <w:rsid w:val="00112119"/>
    <w:rsid w:val="00113F1F"/>
    <w:rsid w:val="00114B0E"/>
    <w:rsid w:val="0012065E"/>
    <w:rsid w:val="0012210E"/>
    <w:rsid w:val="00126FD2"/>
    <w:rsid w:val="00127C1C"/>
    <w:rsid w:val="00130E8D"/>
    <w:rsid w:val="001404C3"/>
    <w:rsid w:val="0014274F"/>
    <w:rsid w:val="00143ABC"/>
    <w:rsid w:val="00156C3C"/>
    <w:rsid w:val="00166061"/>
    <w:rsid w:val="00167727"/>
    <w:rsid w:val="0017132C"/>
    <w:rsid w:val="00171AE5"/>
    <w:rsid w:val="0017618D"/>
    <w:rsid w:val="00181E8C"/>
    <w:rsid w:val="00182B9D"/>
    <w:rsid w:val="0018789E"/>
    <w:rsid w:val="001925CA"/>
    <w:rsid w:val="001940D0"/>
    <w:rsid w:val="001A6C3C"/>
    <w:rsid w:val="001B08CA"/>
    <w:rsid w:val="001C1FB0"/>
    <w:rsid w:val="001C6B98"/>
    <w:rsid w:val="001C6C30"/>
    <w:rsid w:val="001D017D"/>
    <w:rsid w:val="001D242E"/>
    <w:rsid w:val="001E4E44"/>
    <w:rsid w:val="001F34C5"/>
    <w:rsid w:val="001F6174"/>
    <w:rsid w:val="00201E03"/>
    <w:rsid w:val="00217DE8"/>
    <w:rsid w:val="00224BB7"/>
    <w:rsid w:val="00231B73"/>
    <w:rsid w:val="00240EEE"/>
    <w:rsid w:val="002427C3"/>
    <w:rsid w:val="00242DFC"/>
    <w:rsid w:val="00267751"/>
    <w:rsid w:val="00276061"/>
    <w:rsid w:val="00277F11"/>
    <w:rsid w:val="00283F19"/>
    <w:rsid w:val="002868CC"/>
    <w:rsid w:val="0029094F"/>
    <w:rsid w:val="002A1EC5"/>
    <w:rsid w:val="002A28F4"/>
    <w:rsid w:val="002A4035"/>
    <w:rsid w:val="002B5263"/>
    <w:rsid w:val="002C67B9"/>
    <w:rsid w:val="002C68C8"/>
    <w:rsid w:val="002D4DA6"/>
    <w:rsid w:val="002D552B"/>
    <w:rsid w:val="002E735F"/>
    <w:rsid w:val="002F51E1"/>
    <w:rsid w:val="002F693A"/>
    <w:rsid w:val="002F7A81"/>
    <w:rsid w:val="002F7E83"/>
    <w:rsid w:val="002F7E95"/>
    <w:rsid w:val="00307D1B"/>
    <w:rsid w:val="00314AE6"/>
    <w:rsid w:val="00316276"/>
    <w:rsid w:val="00332314"/>
    <w:rsid w:val="00343E1D"/>
    <w:rsid w:val="0038433D"/>
    <w:rsid w:val="003874F9"/>
    <w:rsid w:val="003963D8"/>
    <w:rsid w:val="003C45C2"/>
    <w:rsid w:val="003D62EE"/>
    <w:rsid w:val="003E3590"/>
    <w:rsid w:val="003F3074"/>
    <w:rsid w:val="00407EB5"/>
    <w:rsid w:val="00427461"/>
    <w:rsid w:val="0043701A"/>
    <w:rsid w:val="00444C26"/>
    <w:rsid w:val="004456A6"/>
    <w:rsid w:val="004548EB"/>
    <w:rsid w:val="0045786A"/>
    <w:rsid w:val="004618A2"/>
    <w:rsid w:val="00465526"/>
    <w:rsid w:val="00465AA5"/>
    <w:rsid w:val="00466FB6"/>
    <w:rsid w:val="00484EB4"/>
    <w:rsid w:val="004B65C2"/>
    <w:rsid w:val="004C1023"/>
    <w:rsid w:val="004C7F55"/>
    <w:rsid w:val="004D20EB"/>
    <w:rsid w:val="004E2399"/>
    <w:rsid w:val="004E3772"/>
    <w:rsid w:val="004F3A7E"/>
    <w:rsid w:val="004F4DC5"/>
    <w:rsid w:val="004F5B0D"/>
    <w:rsid w:val="004F756F"/>
    <w:rsid w:val="00503275"/>
    <w:rsid w:val="00505BCA"/>
    <w:rsid w:val="0051369F"/>
    <w:rsid w:val="00514803"/>
    <w:rsid w:val="005312E5"/>
    <w:rsid w:val="00550869"/>
    <w:rsid w:val="00550A6B"/>
    <w:rsid w:val="005529D5"/>
    <w:rsid w:val="00555D2F"/>
    <w:rsid w:val="005576E3"/>
    <w:rsid w:val="0056241A"/>
    <w:rsid w:val="00562732"/>
    <w:rsid w:val="00570E49"/>
    <w:rsid w:val="00580DEF"/>
    <w:rsid w:val="00590BAB"/>
    <w:rsid w:val="005A0507"/>
    <w:rsid w:val="005B36D1"/>
    <w:rsid w:val="005D3149"/>
    <w:rsid w:val="005D4C71"/>
    <w:rsid w:val="005F4CC0"/>
    <w:rsid w:val="00607390"/>
    <w:rsid w:val="00610382"/>
    <w:rsid w:val="0061104B"/>
    <w:rsid w:val="00645D34"/>
    <w:rsid w:val="00646019"/>
    <w:rsid w:val="00646C8B"/>
    <w:rsid w:val="006546D5"/>
    <w:rsid w:val="00670379"/>
    <w:rsid w:val="0067540B"/>
    <w:rsid w:val="00680C14"/>
    <w:rsid w:val="0068488C"/>
    <w:rsid w:val="0068637F"/>
    <w:rsid w:val="006870EF"/>
    <w:rsid w:val="006A78EA"/>
    <w:rsid w:val="006B7173"/>
    <w:rsid w:val="006C5C84"/>
    <w:rsid w:val="006C6A61"/>
    <w:rsid w:val="006D4595"/>
    <w:rsid w:val="006D585E"/>
    <w:rsid w:val="006D7DBD"/>
    <w:rsid w:val="006E1DB6"/>
    <w:rsid w:val="006E3F92"/>
    <w:rsid w:val="00700686"/>
    <w:rsid w:val="00704666"/>
    <w:rsid w:val="00713B95"/>
    <w:rsid w:val="00715B32"/>
    <w:rsid w:val="00722E98"/>
    <w:rsid w:val="00727A3F"/>
    <w:rsid w:val="00734E02"/>
    <w:rsid w:val="00744505"/>
    <w:rsid w:val="00746204"/>
    <w:rsid w:val="00754990"/>
    <w:rsid w:val="00761EE5"/>
    <w:rsid w:val="007634CD"/>
    <w:rsid w:val="0077191F"/>
    <w:rsid w:val="00793360"/>
    <w:rsid w:val="007A4595"/>
    <w:rsid w:val="007B20EF"/>
    <w:rsid w:val="007C3017"/>
    <w:rsid w:val="007D1124"/>
    <w:rsid w:val="007D5AF7"/>
    <w:rsid w:val="007E04D6"/>
    <w:rsid w:val="007E6EF2"/>
    <w:rsid w:val="007E75DA"/>
    <w:rsid w:val="00804CB3"/>
    <w:rsid w:val="00806CB7"/>
    <w:rsid w:val="00835CF3"/>
    <w:rsid w:val="00835D57"/>
    <w:rsid w:val="00867527"/>
    <w:rsid w:val="00882A1C"/>
    <w:rsid w:val="00892A63"/>
    <w:rsid w:val="008957D3"/>
    <w:rsid w:val="00897E40"/>
    <w:rsid w:val="008B4CB4"/>
    <w:rsid w:val="008C0F62"/>
    <w:rsid w:val="008C6A34"/>
    <w:rsid w:val="008D2E91"/>
    <w:rsid w:val="008D528F"/>
    <w:rsid w:val="008E3A55"/>
    <w:rsid w:val="008F0E73"/>
    <w:rsid w:val="008F3C37"/>
    <w:rsid w:val="009033C7"/>
    <w:rsid w:val="009049F1"/>
    <w:rsid w:val="00907E72"/>
    <w:rsid w:val="009105D5"/>
    <w:rsid w:val="009174CC"/>
    <w:rsid w:val="00917955"/>
    <w:rsid w:val="00950C0B"/>
    <w:rsid w:val="00962563"/>
    <w:rsid w:val="00971D04"/>
    <w:rsid w:val="00977865"/>
    <w:rsid w:val="009865C1"/>
    <w:rsid w:val="00987F3A"/>
    <w:rsid w:val="00997405"/>
    <w:rsid w:val="009A425D"/>
    <w:rsid w:val="009A75C3"/>
    <w:rsid w:val="009C200D"/>
    <w:rsid w:val="009E40F4"/>
    <w:rsid w:val="009F206E"/>
    <w:rsid w:val="009F7F2A"/>
    <w:rsid w:val="00A00D45"/>
    <w:rsid w:val="00A0416F"/>
    <w:rsid w:val="00A05C36"/>
    <w:rsid w:val="00A12749"/>
    <w:rsid w:val="00A12B4B"/>
    <w:rsid w:val="00A31799"/>
    <w:rsid w:val="00A4523D"/>
    <w:rsid w:val="00A516CB"/>
    <w:rsid w:val="00A52CC8"/>
    <w:rsid w:val="00A54FF2"/>
    <w:rsid w:val="00A562E1"/>
    <w:rsid w:val="00A76674"/>
    <w:rsid w:val="00A9249D"/>
    <w:rsid w:val="00AB2648"/>
    <w:rsid w:val="00AB576F"/>
    <w:rsid w:val="00AB76FD"/>
    <w:rsid w:val="00AC39C0"/>
    <w:rsid w:val="00AD172A"/>
    <w:rsid w:val="00AE08A4"/>
    <w:rsid w:val="00AE1F2D"/>
    <w:rsid w:val="00AE316C"/>
    <w:rsid w:val="00AE7014"/>
    <w:rsid w:val="00AF4966"/>
    <w:rsid w:val="00B10EEF"/>
    <w:rsid w:val="00B15286"/>
    <w:rsid w:val="00B16DFB"/>
    <w:rsid w:val="00B1772D"/>
    <w:rsid w:val="00B37A0B"/>
    <w:rsid w:val="00B4342C"/>
    <w:rsid w:val="00B521A3"/>
    <w:rsid w:val="00B57D4D"/>
    <w:rsid w:val="00B65571"/>
    <w:rsid w:val="00B83ED1"/>
    <w:rsid w:val="00B92362"/>
    <w:rsid w:val="00BC6246"/>
    <w:rsid w:val="00BC7E10"/>
    <w:rsid w:val="00BD35FC"/>
    <w:rsid w:val="00BD5C80"/>
    <w:rsid w:val="00BE49FF"/>
    <w:rsid w:val="00BE5AD3"/>
    <w:rsid w:val="00BF2027"/>
    <w:rsid w:val="00C031A4"/>
    <w:rsid w:val="00C06651"/>
    <w:rsid w:val="00C16E25"/>
    <w:rsid w:val="00C1770D"/>
    <w:rsid w:val="00C30454"/>
    <w:rsid w:val="00C339D5"/>
    <w:rsid w:val="00C454E3"/>
    <w:rsid w:val="00C57073"/>
    <w:rsid w:val="00C60451"/>
    <w:rsid w:val="00C642A6"/>
    <w:rsid w:val="00C667CB"/>
    <w:rsid w:val="00C70016"/>
    <w:rsid w:val="00C72ECE"/>
    <w:rsid w:val="00C80342"/>
    <w:rsid w:val="00C8186E"/>
    <w:rsid w:val="00C84655"/>
    <w:rsid w:val="00C84C60"/>
    <w:rsid w:val="00C924A5"/>
    <w:rsid w:val="00CB1107"/>
    <w:rsid w:val="00CC4E7F"/>
    <w:rsid w:val="00CD1036"/>
    <w:rsid w:val="00CF5C66"/>
    <w:rsid w:val="00D010E1"/>
    <w:rsid w:val="00D27B1B"/>
    <w:rsid w:val="00D35284"/>
    <w:rsid w:val="00D36984"/>
    <w:rsid w:val="00D41603"/>
    <w:rsid w:val="00D4677D"/>
    <w:rsid w:val="00D67AC8"/>
    <w:rsid w:val="00D7413A"/>
    <w:rsid w:val="00D82286"/>
    <w:rsid w:val="00D8439B"/>
    <w:rsid w:val="00D94B9B"/>
    <w:rsid w:val="00DB322D"/>
    <w:rsid w:val="00DD0D0F"/>
    <w:rsid w:val="00DD1C21"/>
    <w:rsid w:val="00DD3D82"/>
    <w:rsid w:val="00DE6DA6"/>
    <w:rsid w:val="00DE7659"/>
    <w:rsid w:val="00DF05BE"/>
    <w:rsid w:val="00DF5813"/>
    <w:rsid w:val="00DF674E"/>
    <w:rsid w:val="00E15EB6"/>
    <w:rsid w:val="00E43F4A"/>
    <w:rsid w:val="00E500E8"/>
    <w:rsid w:val="00E86D68"/>
    <w:rsid w:val="00E90717"/>
    <w:rsid w:val="00E97621"/>
    <w:rsid w:val="00E97853"/>
    <w:rsid w:val="00EB0628"/>
    <w:rsid w:val="00EB1572"/>
    <w:rsid w:val="00EC1951"/>
    <w:rsid w:val="00EC5034"/>
    <w:rsid w:val="00ED141A"/>
    <w:rsid w:val="00ED4F9C"/>
    <w:rsid w:val="00ED59D8"/>
    <w:rsid w:val="00ED5BBB"/>
    <w:rsid w:val="00EF175A"/>
    <w:rsid w:val="00F02619"/>
    <w:rsid w:val="00F11AA7"/>
    <w:rsid w:val="00F13D24"/>
    <w:rsid w:val="00F20208"/>
    <w:rsid w:val="00F21512"/>
    <w:rsid w:val="00F36A8A"/>
    <w:rsid w:val="00F4426D"/>
    <w:rsid w:val="00F47AE2"/>
    <w:rsid w:val="00F62F8C"/>
    <w:rsid w:val="00F6349E"/>
    <w:rsid w:val="00F7183A"/>
    <w:rsid w:val="00F7240D"/>
    <w:rsid w:val="00F749BA"/>
    <w:rsid w:val="00F77AD8"/>
    <w:rsid w:val="00F87936"/>
    <w:rsid w:val="00FA06A9"/>
    <w:rsid w:val="00FA0D32"/>
    <w:rsid w:val="00FA306C"/>
    <w:rsid w:val="00FA7211"/>
    <w:rsid w:val="00FD1265"/>
    <w:rsid w:val="00FD1D2C"/>
    <w:rsid w:val="00FD71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62A30"/>
  <w15:docId w15:val="{AC596261-F28E-4983-9F85-7BA848FA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D4DA6"/>
    <w:rPr>
      <w:rFonts w:ascii="Arial" w:hAnsi="Arial"/>
      <w:sz w:val="18"/>
      <w:szCs w:val="18"/>
    </w:rPr>
  </w:style>
  <w:style w:type="paragraph" w:styleId="HTML">
    <w:name w:val="HTML Preformatted"/>
    <w:basedOn w:val="a"/>
    <w:rsid w:val="001C6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th-TH"/>
    </w:rPr>
  </w:style>
  <w:style w:type="paragraph" w:styleId="a4">
    <w:name w:val="header"/>
    <w:basedOn w:val="a"/>
    <w:link w:val="a5"/>
    <w:uiPriority w:val="99"/>
    <w:rsid w:val="006C5C84"/>
    <w:pPr>
      <w:tabs>
        <w:tab w:val="center" w:pos="4153"/>
        <w:tab w:val="right" w:pos="8306"/>
      </w:tabs>
      <w:snapToGrid w:val="0"/>
    </w:pPr>
    <w:rPr>
      <w:sz w:val="20"/>
      <w:szCs w:val="20"/>
    </w:rPr>
  </w:style>
  <w:style w:type="character" w:customStyle="1" w:styleId="a5">
    <w:name w:val="頁首 字元"/>
    <w:link w:val="a4"/>
    <w:uiPriority w:val="99"/>
    <w:rsid w:val="006C5C84"/>
    <w:rPr>
      <w:kern w:val="2"/>
    </w:rPr>
  </w:style>
  <w:style w:type="paragraph" w:styleId="a6">
    <w:name w:val="footer"/>
    <w:basedOn w:val="a"/>
    <w:link w:val="a7"/>
    <w:uiPriority w:val="99"/>
    <w:rsid w:val="006C5C84"/>
    <w:pPr>
      <w:tabs>
        <w:tab w:val="center" w:pos="4153"/>
        <w:tab w:val="right" w:pos="8306"/>
      </w:tabs>
      <w:snapToGrid w:val="0"/>
    </w:pPr>
    <w:rPr>
      <w:sz w:val="20"/>
      <w:szCs w:val="20"/>
    </w:rPr>
  </w:style>
  <w:style w:type="character" w:customStyle="1" w:styleId="a7">
    <w:name w:val="頁尾 字元"/>
    <w:link w:val="a6"/>
    <w:uiPriority w:val="99"/>
    <w:rsid w:val="006C5C84"/>
    <w:rPr>
      <w:kern w:val="2"/>
    </w:rPr>
  </w:style>
  <w:style w:type="paragraph" w:customStyle="1" w:styleId="Default">
    <w:name w:val="Default"/>
    <w:uiPriority w:val="99"/>
    <w:rsid w:val="005A0507"/>
    <w:pPr>
      <w:widowControl w:val="0"/>
      <w:autoSpaceDE w:val="0"/>
      <w:autoSpaceDN w:val="0"/>
      <w:adjustRightInd w:val="0"/>
    </w:pPr>
    <w:rPr>
      <w:rFonts w:ascii="標楷體" w:eastAsia="標楷體" w:hAnsi="Calibri" w:cs="標楷體"/>
      <w:color w:val="000000"/>
      <w:sz w:val="24"/>
      <w:szCs w:val="24"/>
    </w:rPr>
  </w:style>
  <w:style w:type="paragraph" w:styleId="a8">
    <w:name w:val="Body Text Indent"/>
    <w:basedOn w:val="a"/>
    <w:link w:val="a9"/>
    <w:rsid w:val="00181E8C"/>
    <w:pPr>
      <w:kinsoku w:val="0"/>
      <w:spacing w:before="120" w:line="320" w:lineRule="exact"/>
      <w:ind w:left="482" w:hanging="482"/>
      <w:jc w:val="both"/>
    </w:pPr>
    <w:rPr>
      <w:rFonts w:eastAsia="標楷體"/>
      <w:szCs w:val="20"/>
    </w:rPr>
  </w:style>
  <w:style w:type="character" w:customStyle="1" w:styleId="a9">
    <w:name w:val="本文縮排 字元"/>
    <w:link w:val="a8"/>
    <w:rsid w:val="00181E8C"/>
    <w:rPr>
      <w:rFonts w:eastAsia="標楷體"/>
      <w:kern w:val="2"/>
      <w:sz w:val="24"/>
    </w:rPr>
  </w:style>
  <w:style w:type="paragraph" w:styleId="3">
    <w:name w:val="Body Text Indent 3"/>
    <w:basedOn w:val="a"/>
    <w:link w:val="30"/>
    <w:rsid w:val="00181E8C"/>
    <w:pPr>
      <w:spacing w:after="120"/>
      <w:ind w:leftChars="200" w:left="480"/>
    </w:pPr>
    <w:rPr>
      <w:sz w:val="16"/>
      <w:szCs w:val="16"/>
    </w:rPr>
  </w:style>
  <w:style w:type="character" w:customStyle="1" w:styleId="30">
    <w:name w:val="本文縮排 3 字元"/>
    <w:link w:val="3"/>
    <w:rsid w:val="00181E8C"/>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23458">
      <w:bodyDiv w:val="1"/>
      <w:marLeft w:val="0"/>
      <w:marRight w:val="0"/>
      <w:marTop w:val="0"/>
      <w:marBottom w:val="0"/>
      <w:divBdr>
        <w:top w:val="none" w:sz="0" w:space="0" w:color="auto"/>
        <w:left w:val="none" w:sz="0" w:space="0" w:color="auto"/>
        <w:bottom w:val="none" w:sz="0" w:space="0" w:color="auto"/>
        <w:right w:val="none" w:sz="0" w:space="0" w:color="auto"/>
      </w:divBdr>
    </w:div>
    <w:div w:id="1977447062">
      <w:bodyDiv w:val="1"/>
      <w:marLeft w:val="0"/>
      <w:marRight w:val="0"/>
      <w:marTop w:val="0"/>
      <w:marBottom w:val="0"/>
      <w:divBdr>
        <w:top w:val="none" w:sz="0" w:space="0" w:color="auto"/>
        <w:left w:val="none" w:sz="0" w:space="0" w:color="auto"/>
        <w:bottom w:val="none" w:sz="0" w:space="0" w:color="auto"/>
        <w:right w:val="none" w:sz="0" w:space="0" w:color="auto"/>
      </w:divBdr>
    </w:div>
    <w:div w:id="21175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1E74-DD4E-4435-9C93-D5979B2F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18</Characters>
  <Application>Microsoft Office Word</Application>
  <DocSecurity>4</DocSecurity>
  <Lines>1</Lines>
  <Paragraphs>2</Paragraphs>
  <ScaleCrop>false</ScaleCrop>
  <Company>TPFBBANK</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台北富邦銀行股份有限公司九十六年度金融債發行計畫（草案）</dc:title>
  <dc:creator>FBUSR</dc:creator>
  <cp:lastModifiedBy>張慧甄</cp:lastModifiedBy>
  <cp:revision>2</cp:revision>
  <cp:lastPrinted>2021-08-23T03:28:00Z</cp:lastPrinted>
  <dcterms:created xsi:type="dcterms:W3CDTF">2021-08-23T03:29:00Z</dcterms:created>
  <dcterms:modified xsi:type="dcterms:W3CDTF">2021-08-23T03:29:00Z</dcterms:modified>
</cp:coreProperties>
</file>